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49" w:rsidRDefault="00C23D49" w:rsidP="007B2AB2">
      <w:pPr>
        <w:pStyle w:val="Heading1"/>
        <w:jc w:val="right"/>
        <w:rPr>
          <w:b/>
          <w:noProof/>
          <w:color w:val="0070C0"/>
          <w:sz w:val="28"/>
          <w:szCs w:val="28"/>
        </w:rPr>
      </w:pPr>
      <w:r w:rsidRPr="00B725EF">
        <w:rPr>
          <w:noProof/>
        </w:rPr>
        <w:drawing>
          <wp:inline distT="0" distB="0" distL="0" distR="0" wp14:anchorId="42924C02" wp14:editId="017AB708">
            <wp:extent cx="1515979" cy="466725"/>
            <wp:effectExtent l="0" t="0" r="8255" b="0"/>
            <wp:docPr id="2" name="Picture 2" descr="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65" cy="47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9E" w:rsidRDefault="00BF119E" w:rsidP="00D61922">
      <w:pPr>
        <w:pStyle w:val="Heading1"/>
        <w:rPr>
          <w:b/>
          <w:noProof/>
          <w:color w:val="0070C0"/>
          <w:sz w:val="28"/>
          <w:szCs w:val="28"/>
        </w:rPr>
      </w:pPr>
      <w:bookmarkStart w:id="0" w:name="_GoBack"/>
      <w:bookmarkEnd w:id="0"/>
    </w:p>
    <w:p w:rsidR="00925AF8" w:rsidRPr="008067AE" w:rsidRDefault="00CB79F3" w:rsidP="00D61922">
      <w:pPr>
        <w:pStyle w:val="Heading1"/>
        <w:rPr>
          <w:b/>
          <w:color w:val="0070C0"/>
          <w:sz w:val="28"/>
          <w:szCs w:val="28"/>
        </w:rPr>
      </w:pPr>
      <w:r w:rsidRPr="008067AE">
        <w:rPr>
          <w:b/>
          <w:noProof/>
          <w:color w:val="0070C0"/>
          <w:sz w:val="28"/>
          <w:szCs w:val="28"/>
        </w:rPr>
        <w:t xml:space="preserve">PDBF </w:t>
      </w:r>
      <w:r w:rsidR="0086289E" w:rsidRPr="008067AE">
        <w:rPr>
          <w:b/>
          <w:noProof/>
          <w:color w:val="0070C0"/>
          <w:sz w:val="28"/>
          <w:szCs w:val="28"/>
        </w:rPr>
        <w:t>GeNERAL</w:t>
      </w:r>
      <w:r w:rsidR="0034688F" w:rsidRPr="008067AE">
        <w:rPr>
          <w:b/>
          <w:color w:val="0070C0"/>
          <w:sz w:val="28"/>
          <w:szCs w:val="28"/>
        </w:rPr>
        <w:t xml:space="preserve"> FUND </w:t>
      </w:r>
      <w:r w:rsidR="00740806" w:rsidRPr="008067AE">
        <w:rPr>
          <w:b/>
          <w:color w:val="0070C0"/>
          <w:sz w:val="28"/>
          <w:szCs w:val="28"/>
        </w:rPr>
        <w:t xml:space="preserve">BUDGET </w:t>
      </w:r>
      <w:r w:rsidR="0046733F" w:rsidRPr="008067AE">
        <w:rPr>
          <w:b/>
          <w:color w:val="0070C0"/>
          <w:sz w:val="28"/>
          <w:szCs w:val="28"/>
        </w:rPr>
        <w:t>2020</w:t>
      </w:r>
      <w:r w:rsidR="007B2AB2" w:rsidRPr="008067AE">
        <w:rPr>
          <w:b/>
          <w:color w:val="0070C0"/>
          <w:sz w:val="28"/>
          <w:szCs w:val="28"/>
        </w:rPr>
        <w:t xml:space="preserve"> Commentary</w:t>
      </w:r>
    </w:p>
    <w:p w:rsidR="00C21CEE" w:rsidRPr="008067AE" w:rsidRDefault="00C21CEE" w:rsidP="00C21CEE"/>
    <w:p w:rsidR="005E1667" w:rsidRPr="008067AE" w:rsidRDefault="00D55ED9" w:rsidP="00B40F13">
      <w:pPr>
        <w:rPr>
          <w:rFonts w:asciiTheme="minorHAnsi" w:hAnsiTheme="minorHAnsi"/>
          <w:b/>
          <w:color w:val="0070C0"/>
        </w:rPr>
      </w:pPr>
      <w:r w:rsidRPr="008067AE">
        <w:rPr>
          <w:rFonts w:asciiTheme="minorHAnsi" w:hAnsiTheme="minorHAnsi"/>
          <w:b/>
          <w:color w:val="0070C0"/>
        </w:rPr>
        <w:t xml:space="preserve">3 Key </w:t>
      </w:r>
      <w:r w:rsidR="00BE17BF" w:rsidRPr="008067AE">
        <w:rPr>
          <w:rFonts w:asciiTheme="minorHAnsi" w:hAnsiTheme="minorHAnsi"/>
          <w:b/>
          <w:color w:val="0070C0"/>
        </w:rPr>
        <w:t xml:space="preserve">Financial </w:t>
      </w:r>
      <w:r w:rsidR="00B05BA0" w:rsidRPr="008067AE">
        <w:rPr>
          <w:rFonts w:asciiTheme="minorHAnsi" w:hAnsiTheme="minorHAnsi"/>
          <w:b/>
          <w:color w:val="0070C0"/>
        </w:rPr>
        <w:t>Challenges</w:t>
      </w:r>
    </w:p>
    <w:p w:rsidR="002A7C43" w:rsidRPr="008067AE" w:rsidRDefault="002A7C43" w:rsidP="002A7C43">
      <w:pPr>
        <w:pStyle w:val="ListParagraph"/>
        <w:rPr>
          <w:sz w:val="22"/>
          <w:szCs w:val="22"/>
        </w:rPr>
      </w:pPr>
    </w:p>
    <w:p w:rsidR="009F7E98" w:rsidRPr="008067AE" w:rsidRDefault="003A4485" w:rsidP="00CE4777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8067AE">
        <w:rPr>
          <w:sz w:val="22"/>
          <w:szCs w:val="22"/>
        </w:rPr>
        <w:t xml:space="preserve">Parish share - </w:t>
      </w:r>
      <w:r w:rsidR="00B424BA" w:rsidRPr="008067AE">
        <w:rPr>
          <w:sz w:val="22"/>
          <w:szCs w:val="22"/>
        </w:rPr>
        <w:t>our single largest income line and the current collection rate of 98% needs to be maintained or increase</w:t>
      </w:r>
      <w:r w:rsidR="00AE52A2" w:rsidRPr="008067AE">
        <w:rPr>
          <w:sz w:val="22"/>
          <w:szCs w:val="22"/>
        </w:rPr>
        <w:t>d</w:t>
      </w:r>
      <w:r w:rsidR="00B424BA" w:rsidRPr="008067AE">
        <w:rPr>
          <w:sz w:val="22"/>
          <w:szCs w:val="22"/>
        </w:rPr>
        <w:t xml:space="preserve"> in order to meet the </w:t>
      </w:r>
      <w:r w:rsidRPr="008067AE">
        <w:rPr>
          <w:sz w:val="22"/>
          <w:szCs w:val="22"/>
        </w:rPr>
        <w:t>budgeted expenses for</w:t>
      </w:r>
      <w:r w:rsidR="00B424BA" w:rsidRPr="008067AE">
        <w:rPr>
          <w:sz w:val="22"/>
          <w:szCs w:val="22"/>
        </w:rPr>
        <w:t xml:space="preserve"> 2020.</w:t>
      </w:r>
    </w:p>
    <w:p w:rsidR="00B424BA" w:rsidRPr="008067AE" w:rsidRDefault="00B424BA" w:rsidP="00B424BA">
      <w:pPr>
        <w:pStyle w:val="ListParagraph"/>
        <w:rPr>
          <w:sz w:val="22"/>
          <w:szCs w:val="22"/>
        </w:rPr>
      </w:pPr>
    </w:p>
    <w:p w:rsidR="009F7E98" w:rsidRPr="008067AE" w:rsidRDefault="009F7E98" w:rsidP="006C439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8067AE">
        <w:rPr>
          <w:sz w:val="22"/>
          <w:szCs w:val="22"/>
        </w:rPr>
        <w:t>Parochial Fee income – having invested staff time to bring fee income up to date, we have seen a boost in fee income over the last four years from historic underpayments.  Parishes are now much more up to date. </w:t>
      </w:r>
      <w:r w:rsidR="00CB79F3" w:rsidRPr="008067AE">
        <w:rPr>
          <w:sz w:val="22"/>
          <w:szCs w:val="22"/>
        </w:rPr>
        <w:t>F</w:t>
      </w:r>
      <w:r w:rsidR="00B424BA" w:rsidRPr="008067AE">
        <w:rPr>
          <w:sz w:val="22"/>
          <w:szCs w:val="22"/>
        </w:rPr>
        <w:t>ee income has now slowed, in line with</w:t>
      </w:r>
      <w:r w:rsidRPr="008067AE">
        <w:rPr>
          <w:sz w:val="22"/>
          <w:szCs w:val="22"/>
        </w:rPr>
        <w:t xml:space="preserve"> a national trend of reduced numbers of weddings and funerals</w:t>
      </w:r>
      <w:r w:rsidR="006C439E" w:rsidRPr="008067AE">
        <w:rPr>
          <w:sz w:val="22"/>
          <w:szCs w:val="22"/>
        </w:rPr>
        <w:t xml:space="preserve">. Fees have therefore been </w:t>
      </w:r>
      <w:r w:rsidR="0013101B" w:rsidRPr="008067AE">
        <w:rPr>
          <w:sz w:val="22"/>
          <w:szCs w:val="22"/>
        </w:rPr>
        <w:t xml:space="preserve">adjusted in line with the forecast for 2019 </w:t>
      </w:r>
      <w:r w:rsidR="006C439E" w:rsidRPr="008067AE">
        <w:rPr>
          <w:sz w:val="22"/>
          <w:szCs w:val="22"/>
        </w:rPr>
        <w:t>plus inflation.</w:t>
      </w:r>
    </w:p>
    <w:p w:rsidR="006C439E" w:rsidRPr="008067AE" w:rsidRDefault="006C439E" w:rsidP="006C439E">
      <w:pPr>
        <w:pStyle w:val="ListParagraph"/>
        <w:rPr>
          <w:sz w:val="22"/>
          <w:szCs w:val="22"/>
        </w:rPr>
      </w:pPr>
    </w:p>
    <w:p w:rsidR="006C439E" w:rsidRPr="008067AE" w:rsidRDefault="006C439E" w:rsidP="006C439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8067AE">
        <w:rPr>
          <w:sz w:val="22"/>
          <w:szCs w:val="22"/>
        </w:rPr>
        <w:t>Clergy housing maintenance – costs for materials and contractors are rising faster than the current rate of inflation</w:t>
      </w:r>
      <w:r w:rsidR="00201A8A" w:rsidRPr="008067AE">
        <w:rPr>
          <w:sz w:val="22"/>
          <w:szCs w:val="22"/>
        </w:rPr>
        <w:t>.</w:t>
      </w:r>
    </w:p>
    <w:p w:rsidR="009F7E98" w:rsidRPr="008067AE" w:rsidRDefault="009F7E98" w:rsidP="009F7E98">
      <w:pPr>
        <w:rPr>
          <w:sz w:val="22"/>
          <w:szCs w:val="22"/>
        </w:rPr>
      </w:pPr>
    </w:p>
    <w:p w:rsidR="00B05BA0" w:rsidRPr="008067AE" w:rsidRDefault="00EF45AC" w:rsidP="00782626">
      <w:pPr>
        <w:rPr>
          <w:rFonts w:asciiTheme="minorHAnsi" w:hAnsiTheme="minorHAnsi"/>
          <w:b/>
          <w:color w:val="0070C0"/>
          <w:sz w:val="22"/>
          <w:szCs w:val="22"/>
        </w:rPr>
      </w:pPr>
      <w:r w:rsidRPr="008067AE">
        <w:rPr>
          <w:rFonts w:asciiTheme="minorHAnsi" w:hAnsiTheme="minorHAnsi"/>
          <w:b/>
          <w:color w:val="0070C0"/>
        </w:rPr>
        <w:t xml:space="preserve">General Fund </w:t>
      </w:r>
      <w:r w:rsidR="00B05BA0" w:rsidRPr="008067AE">
        <w:rPr>
          <w:rFonts w:asciiTheme="minorHAnsi" w:hAnsiTheme="minorHAnsi"/>
          <w:b/>
          <w:color w:val="0070C0"/>
        </w:rPr>
        <w:t>Plan Assumptions</w:t>
      </w:r>
      <w:r w:rsidR="0046733F" w:rsidRPr="008067AE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</w:p>
    <w:p w:rsidR="00A266D0" w:rsidRPr="008067AE" w:rsidRDefault="00A266D0" w:rsidP="003A116A">
      <w:pPr>
        <w:jc w:val="both"/>
        <w:rPr>
          <w:rFonts w:asciiTheme="minorHAnsi" w:hAnsiTheme="minorHAnsi"/>
          <w:color w:val="CF0A2C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05"/>
        <w:gridCol w:w="6712"/>
      </w:tblGrid>
      <w:tr w:rsidR="00B05BA0" w:rsidRPr="008067AE" w:rsidTr="002E6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05BA0" w:rsidRPr="008067AE" w:rsidRDefault="00B05BA0" w:rsidP="003A11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67AE">
              <w:rPr>
                <w:rFonts w:asciiTheme="minorHAnsi" w:hAnsiTheme="minorHAnsi"/>
                <w:sz w:val="22"/>
                <w:szCs w:val="22"/>
              </w:rPr>
              <w:t>Income</w:t>
            </w:r>
          </w:p>
        </w:tc>
        <w:tc>
          <w:tcPr>
            <w:tcW w:w="6712" w:type="dxa"/>
          </w:tcPr>
          <w:p w:rsidR="00B05BA0" w:rsidRPr="008067AE" w:rsidRDefault="00B05BA0" w:rsidP="003A11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067AE">
              <w:rPr>
                <w:rFonts w:asciiTheme="minorHAnsi" w:hAnsiTheme="minorHAnsi"/>
                <w:sz w:val="22"/>
                <w:szCs w:val="22"/>
              </w:rPr>
              <w:t>Assumptions Used</w:t>
            </w:r>
          </w:p>
        </w:tc>
      </w:tr>
      <w:tr w:rsidR="00B05BA0" w:rsidRPr="008067AE" w:rsidTr="002E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05BA0" w:rsidRPr="008067AE" w:rsidRDefault="00C3191E" w:rsidP="003A116A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8067AE">
              <w:rPr>
                <w:b w:val="0"/>
                <w:bCs w:val="0"/>
                <w:sz w:val="22"/>
                <w:szCs w:val="22"/>
              </w:rPr>
              <w:t>Parish Share</w:t>
            </w:r>
          </w:p>
        </w:tc>
        <w:tc>
          <w:tcPr>
            <w:tcW w:w="6712" w:type="dxa"/>
          </w:tcPr>
          <w:p w:rsidR="00B05BA0" w:rsidRPr="008067AE" w:rsidRDefault="00F21D2C" w:rsidP="006C43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67AE">
              <w:rPr>
                <w:sz w:val="22"/>
                <w:szCs w:val="22"/>
              </w:rPr>
              <w:t xml:space="preserve">We have assumed an increase of </w:t>
            </w:r>
            <w:r w:rsidR="006C439E" w:rsidRPr="008067AE">
              <w:rPr>
                <w:sz w:val="22"/>
                <w:szCs w:val="22"/>
              </w:rPr>
              <w:t>2</w:t>
            </w:r>
            <w:r w:rsidRPr="008067AE">
              <w:rPr>
                <w:sz w:val="22"/>
                <w:szCs w:val="22"/>
              </w:rPr>
              <w:t>%</w:t>
            </w:r>
            <w:r w:rsidR="00C21CEE" w:rsidRPr="008067AE">
              <w:rPr>
                <w:sz w:val="22"/>
                <w:szCs w:val="22"/>
              </w:rPr>
              <w:t xml:space="preserve"> </w:t>
            </w:r>
            <w:r w:rsidRPr="008067AE">
              <w:rPr>
                <w:sz w:val="22"/>
                <w:szCs w:val="22"/>
              </w:rPr>
              <w:t>year o</w:t>
            </w:r>
            <w:r w:rsidR="00D61922" w:rsidRPr="008067AE">
              <w:rPr>
                <w:sz w:val="22"/>
                <w:szCs w:val="22"/>
              </w:rPr>
              <w:t>n year</w:t>
            </w:r>
          </w:p>
        </w:tc>
      </w:tr>
      <w:tr w:rsidR="00B05BA0" w:rsidRPr="008067AE" w:rsidTr="002E6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05BA0" w:rsidRPr="008067AE" w:rsidRDefault="00B05BA0" w:rsidP="003A116A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8067AE">
              <w:rPr>
                <w:b w:val="0"/>
                <w:bCs w:val="0"/>
                <w:sz w:val="22"/>
                <w:szCs w:val="22"/>
              </w:rPr>
              <w:t>Fees</w:t>
            </w:r>
          </w:p>
        </w:tc>
        <w:tc>
          <w:tcPr>
            <w:tcW w:w="6712" w:type="dxa"/>
          </w:tcPr>
          <w:p w:rsidR="00B05BA0" w:rsidRPr="008067AE" w:rsidRDefault="00AB4D49" w:rsidP="00CB79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67AE">
              <w:rPr>
                <w:sz w:val="22"/>
                <w:szCs w:val="22"/>
              </w:rPr>
              <w:t>There is a high degree of uncertainty given the current shift away from using these traditional services</w:t>
            </w:r>
            <w:r w:rsidR="00656822" w:rsidRPr="008067AE">
              <w:rPr>
                <w:sz w:val="22"/>
                <w:szCs w:val="22"/>
              </w:rPr>
              <w:t xml:space="preserve"> so we have reduced the forecast collection for 2019</w:t>
            </w:r>
            <w:r w:rsidR="00B424BA" w:rsidRPr="008067AE">
              <w:rPr>
                <w:sz w:val="22"/>
                <w:szCs w:val="22"/>
              </w:rPr>
              <w:t xml:space="preserve"> and projected an inflation increase for the 2020 budget.</w:t>
            </w:r>
          </w:p>
        </w:tc>
      </w:tr>
      <w:tr w:rsidR="00B05BA0" w:rsidRPr="008067AE" w:rsidTr="002E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05BA0" w:rsidRPr="008067AE" w:rsidRDefault="00B05BA0" w:rsidP="003A116A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8067AE">
              <w:rPr>
                <w:b w:val="0"/>
                <w:bCs w:val="0"/>
                <w:sz w:val="22"/>
                <w:szCs w:val="22"/>
              </w:rPr>
              <w:t>Expenditure</w:t>
            </w:r>
          </w:p>
        </w:tc>
        <w:tc>
          <w:tcPr>
            <w:tcW w:w="6712" w:type="dxa"/>
          </w:tcPr>
          <w:p w:rsidR="00B05BA0" w:rsidRPr="008067AE" w:rsidRDefault="00B05BA0" w:rsidP="003A11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66D0" w:rsidRPr="008067AE" w:rsidTr="002E6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266D0" w:rsidRPr="008067AE" w:rsidRDefault="00A266D0" w:rsidP="003A116A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8067AE">
              <w:rPr>
                <w:b w:val="0"/>
                <w:bCs w:val="0"/>
                <w:sz w:val="22"/>
                <w:szCs w:val="22"/>
              </w:rPr>
              <w:t>General rate of Inflation</w:t>
            </w:r>
          </w:p>
        </w:tc>
        <w:tc>
          <w:tcPr>
            <w:tcW w:w="6712" w:type="dxa"/>
          </w:tcPr>
          <w:p w:rsidR="00A266D0" w:rsidRPr="008067AE" w:rsidRDefault="00A266D0" w:rsidP="00C319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67AE">
              <w:rPr>
                <w:sz w:val="22"/>
                <w:szCs w:val="22"/>
              </w:rPr>
              <w:t xml:space="preserve">We have assumed a rate of 2% for 2020 </w:t>
            </w:r>
            <w:r w:rsidR="00C21CEE" w:rsidRPr="008067AE">
              <w:rPr>
                <w:sz w:val="22"/>
                <w:szCs w:val="22"/>
              </w:rPr>
              <w:t>as per the Bank of England projections</w:t>
            </w:r>
          </w:p>
        </w:tc>
      </w:tr>
      <w:tr w:rsidR="000E6AEE" w:rsidRPr="008067AE" w:rsidTr="002E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0E6AEE" w:rsidRPr="008067AE" w:rsidRDefault="000E6AEE" w:rsidP="003A116A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8067AE">
              <w:rPr>
                <w:b w:val="0"/>
                <w:bCs w:val="0"/>
                <w:sz w:val="22"/>
                <w:szCs w:val="22"/>
              </w:rPr>
              <w:lastRenderedPageBreak/>
              <w:t>Stipends</w:t>
            </w:r>
          </w:p>
        </w:tc>
        <w:tc>
          <w:tcPr>
            <w:tcW w:w="6712" w:type="dxa"/>
          </w:tcPr>
          <w:p w:rsidR="000E6AEE" w:rsidRPr="008067AE" w:rsidRDefault="000E6AEE" w:rsidP="003A11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67AE">
              <w:rPr>
                <w:sz w:val="22"/>
                <w:szCs w:val="22"/>
              </w:rPr>
              <w:t>Having regard to the National Stipend Benchmarks (NSB) projected at 2% p.a. to 2022 (Source: Letter from William Nye Jun18)</w:t>
            </w:r>
          </w:p>
        </w:tc>
      </w:tr>
      <w:tr w:rsidR="000E6AEE" w:rsidRPr="008067AE" w:rsidTr="002E6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0E6AEE" w:rsidRPr="008067AE" w:rsidRDefault="000E6AEE" w:rsidP="003A116A">
            <w:pPr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12" w:type="dxa"/>
          </w:tcPr>
          <w:p w:rsidR="000E6AEE" w:rsidRPr="008067AE" w:rsidRDefault="006551A8" w:rsidP="006C43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67AE">
              <w:rPr>
                <w:sz w:val="22"/>
                <w:szCs w:val="22"/>
              </w:rPr>
              <w:t xml:space="preserve">Clergy vacancy rates is one of the biggest uncertainties in a diocesan budget. The budget assumes that the rates of vacancies continue in line with the rates experienced in 2018 and so far in 2019. </w:t>
            </w:r>
          </w:p>
        </w:tc>
      </w:tr>
      <w:tr w:rsidR="000E6AEE" w:rsidRPr="008067AE" w:rsidTr="002E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0E6AEE" w:rsidRPr="008067AE" w:rsidRDefault="000E6AEE" w:rsidP="003A116A">
            <w:pPr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12" w:type="dxa"/>
          </w:tcPr>
          <w:p w:rsidR="000E6AEE" w:rsidRPr="008067AE" w:rsidRDefault="000E6AEE" w:rsidP="00DC2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67AE">
              <w:rPr>
                <w:sz w:val="22"/>
                <w:szCs w:val="22"/>
              </w:rPr>
              <w:t>Clergy pensio</w:t>
            </w:r>
            <w:r w:rsidR="00CB79F3" w:rsidRPr="008067AE">
              <w:rPr>
                <w:sz w:val="22"/>
                <w:szCs w:val="22"/>
              </w:rPr>
              <w:t>n contribution remains at 39.9%, despite the deficit having reduced from £236m to £56m</w:t>
            </w:r>
            <w:r w:rsidRPr="008067AE">
              <w:rPr>
                <w:sz w:val="22"/>
                <w:szCs w:val="22"/>
              </w:rPr>
              <w:t xml:space="preserve"> This comprises 28% for future service and 11.9% for deficit recovery. The deficit recovery period is set to run until at least 31 December 2025.</w:t>
            </w:r>
            <w:r w:rsidR="00D567F7" w:rsidRPr="008067AE">
              <w:rPr>
                <w:sz w:val="22"/>
                <w:szCs w:val="22"/>
              </w:rPr>
              <w:t xml:space="preserve"> Average annual deficit funding required is £</w:t>
            </w:r>
            <w:r w:rsidR="00DC2202" w:rsidRPr="008067AE">
              <w:rPr>
                <w:sz w:val="22"/>
                <w:szCs w:val="22"/>
              </w:rPr>
              <w:t>240</w:t>
            </w:r>
            <w:r w:rsidR="00D567F7" w:rsidRPr="008067AE">
              <w:rPr>
                <w:sz w:val="22"/>
                <w:szCs w:val="22"/>
              </w:rPr>
              <w:t>k.</w:t>
            </w:r>
          </w:p>
        </w:tc>
      </w:tr>
      <w:tr w:rsidR="009F7E98" w:rsidRPr="008067AE" w:rsidTr="002E6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9F7E98" w:rsidRPr="008067AE" w:rsidRDefault="009F7E98" w:rsidP="003A116A">
            <w:pPr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12" w:type="dxa"/>
          </w:tcPr>
          <w:p w:rsidR="009F7E98" w:rsidRPr="008067AE" w:rsidRDefault="009F7E98" w:rsidP="00C21C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67AE">
              <w:rPr>
                <w:sz w:val="22"/>
                <w:szCs w:val="22"/>
              </w:rPr>
              <w:t xml:space="preserve">Curates- we have a commitment to increase Curate numbers and we have achieved this in 2018. </w:t>
            </w:r>
            <w:r w:rsidR="00C21CEE" w:rsidRPr="008067AE">
              <w:rPr>
                <w:sz w:val="22"/>
                <w:szCs w:val="22"/>
              </w:rPr>
              <w:t>5</w:t>
            </w:r>
            <w:r w:rsidRPr="008067AE">
              <w:rPr>
                <w:sz w:val="22"/>
                <w:szCs w:val="22"/>
              </w:rPr>
              <w:t xml:space="preserve"> stipendiary curates </w:t>
            </w:r>
            <w:r w:rsidR="00C21CEE" w:rsidRPr="008067AE">
              <w:rPr>
                <w:sz w:val="22"/>
                <w:szCs w:val="22"/>
              </w:rPr>
              <w:t>will be assumed for</w:t>
            </w:r>
            <w:r w:rsidRPr="008067AE">
              <w:rPr>
                <w:sz w:val="22"/>
                <w:szCs w:val="22"/>
              </w:rPr>
              <w:t xml:space="preserve"> 2020. </w:t>
            </w:r>
          </w:p>
        </w:tc>
      </w:tr>
      <w:tr w:rsidR="00B05BA0" w:rsidRPr="008067AE" w:rsidTr="002E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05BA0" w:rsidRPr="008067AE" w:rsidRDefault="00B05BA0" w:rsidP="003A116A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8067AE">
              <w:rPr>
                <w:b w:val="0"/>
                <w:bCs w:val="0"/>
                <w:sz w:val="22"/>
                <w:szCs w:val="22"/>
              </w:rPr>
              <w:t>Vote 1</w:t>
            </w:r>
          </w:p>
        </w:tc>
        <w:tc>
          <w:tcPr>
            <w:tcW w:w="6712" w:type="dxa"/>
          </w:tcPr>
          <w:p w:rsidR="00B05BA0" w:rsidRPr="008067AE" w:rsidRDefault="00EE28AD" w:rsidP="00C21C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67AE">
              <w:rPr>
                <w:sz w:val="22"/>
                <w:szCs w:val="22"/>
              </w:rPr>
              <w:t xml:space="preserve">Our assumption on cost increases are </w:t>
            </w:r>
            <w:r w:rsidR="00C21CEE" w:rsidRPr="008067AE">
              <w:rPr>
                <w:sz w:val="22"/>
                <w:szCs w:val="22"/>
              </w:rPr>
              <w:t>0% for 2020.</w:t>
            </w:r>
            <w:r w:rsidRPr="008067AE">
              <w:rPr>
                <w:sz w:val="22"/>
                <w:szCs w:val="22"/>
              </w:rPr>
              <w:t xml:space="preserve"> However, if nationally </w:t>
            </w:r>
            <w:proofErr w:type="spellStart"/>
            <w:r w:rsidRPr="008067AE">
              <w:rPr>
                <w:sz w:val="22"/>
                <w:szCs w:val="22"/>
              </w:rPr>
              <w:t>ordinand</w:t>
            </w:r>
            <w:proofErr w:type="spellEnd"/>
            <w:r w:rsidRPr="008067AE">
              <w:rPr>
                <w:sz w:val="22"/>
                <w:szCs w:val="22"/>
              </w:rPr>
              <w:t xml:space="preserve"> numbers increase by c. 10% p</w:t>
            </w:r>
            <w:r w:rsidR="00E23D93" w:rsidRPr="008067AE">
              <w:rPr>
                <w:sz w:val="22"/>
                <w:szCs w:val="22"/>
              </w:rPr>
              <w:t>.a. Vote I costs could increase</w:t>
            </w:r>
            <w:r w:rsidRPr="008067AE">
              <w:rPr>
                <w:sz w:val="22"/>
                <w:szCs w:val="22"/>
              </w:rPr>
              <w:t xml:space="preserve">. National Church have said they will seek financial support from the Church Commissioners to offset some of those costs. There is a risk this will not materialise. </w:t>
            </w:r>
          </w:p>
        </w:tc>
      </w:tr>
      <w:tr w:rsidR="00B05BA0" w:rsidRPr="008067AE" w:rsidTr="002E6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05BA0" w:rsidRPr="008067AE" w:rsidRDefault="00B05BA0" w:rsidP="003A116A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8067AE">
              <w:rPr>
                <w:b w:val="0"/>
                <w:bCs w:val="0"/>
                <w:sz w:val="22"/>
                <w:szCs w:val="22"/>
              </w:rPr>
              <w:t>Votes 2-5</w:t>
            </w:r>
          </w:p>
        </w:tc>
        <w:tc>
          <w:tcPr>
            <w:tcW w:w="6712" w:type="dxa"/>
          </w:tcPr>
          <w:p w:rsidR="00B05BA0" w:rsidRPr="008067AE" w:rsidRDefault="006C439E" w:rsidP="00A266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67AE">
              <w:rPr>
                <w:sz w:val="22"/>
                <w:szCs w:val="22"/>
              </w:rPr>
              <w:t>N</w:t>
            </w:r>
            <w:r w:rsidR="00A266D0" w:rsidRPr="008067AE">
              <w:rPr>
                <w:sz w:val="22"/>
                <w:szCs w:val="22"/>
              </w:rPr>
              <w:t>ational Church - Increases estimated at 2%-3%.</w:t>
            </w:r>
          </w:p>
        </w:tc>
      </w:tr>
    </w:tbl>
    <w:p w:rsidR="00736502" w:rsidRPr="008067AE" w:rsidRDefault="00736502" w:rsidP="00C21CEE"/>
    <w:p w:rsidR="007138A7" w:rsidRPr="008067AE" w:rsidRDefault="000D6B72" w:rsidP="000D6B72">
      <w:pPr>
        <w:rPr>
          <w:color w:val="0070C0"/>
        </w:rPr>
      </w:pPr>
      <w:r w:rsidRPr="008067AE">
        <w:rPr>
          <w:noProof/>
        </w:rPr>
        <w:lastRenderedPageBreak/>
        <w:drawing>
          <wp:inline distT="0" distB="0" distL="0" distR="0">
            <wp:extent cx="5495925" cy="5989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01" cy="602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72" w:rsidRPr="008067AE" w:rsidRDefault="000D6B72" w:rsidP="00D61922">
      <w:pPr>
        <w:jc w:val="right"/>
        <w:rPr>
          <w:color w:val="0070C0"/>
        </w:rPr>
      </w:pPr>
    </w:p>
    <w:p w:rsidR="001E4D85" w:rsidRPr="008067AE" w:rsidRDefault="001E4D85">
      <w:pPr>
        <w:rPr>
          <w:b/>
          <w:color w:val="0070C0"/>
        </w:rPr>
      </w:pPr>
      <w:r w:rsidRPr="008067AE">
        <w:rPr>
          <w:b/>
          <w:color w:val="0070C0"/>
        </w:rPr>
        <w:t>Notable Variances:</w:t>
      </w:r>
    </w:p>
    <w:p w:rsidR="007739E8" w:rsidRPr="008067AE" w:rsidRDefault="00201043" w:rsidP="00201043">
      <w:pPr>
        <w:pStyle w:val="ListParagraph"/>
        <w:numPr>
          <w:ilvl w:val="0"/>
          <w:numId w:val="28"/>
        </w:numPr>
        <w:ind w:left="426"/>
        <w:rPr>
          <w:b/>
          <w:sz w:val="22"/>
          <w:szCs w:val="22"/>
        </w:rPr>
      </w:pPr>
      <w:r w:rsidRPr="008067AE">
        <w:rPr>
          <w:sz w:val="22"/>
          <w:szCs w:val="22"/>
        </w:rPr>
        <w:t>Fund Transfers: Bishop’s council has previously approved the expenditure of repairs over a three year period to be funded from the Building Repair fund, 2019 is the final year, therefore the transfer of £200k per year will cease. The completion of these repairs has given rise to a decrease in</w:t>
      </w:r>
      <w:r w:rsidR="00BB2DB8" w:rsidRPr="008067AE">
        <w:rPr>
          <w:sz w:val="22"/>
          <w:szCs w:val="22"/>
        </w:rPr>
        <w:t xml:space="preserve"> pre-planned</w:t>
      </w:r>
      <w:r w:rsidRPr="008067AE">
        <w:rPr>
          <w:sz w:val="22"/>
          <w:szCs w:val="22"/>
        </w:rPr>
        <w:t xml:space="preserve"> Clergy Housing</w:t>
      </w:r>
      <w:r w:rsidR="00BB2DB8" w:rsidRPr="008067AE">
        <w:rPr>
          <w:sz w:val="22"/>
          <w:szCs w:val="22"/>
        </w:rPr>
        <w:t xml:space="preserve"> expenses as well</w:t>
      </w:r>
      <w:r w:rsidRPr="008067AE">
        <w:rPr>
          <w:sz w:val="22"/>
          <w:szCs w:val="22"/>
        </w:rPr>
        <w:t>.</w:t>
      </w:r>
    </w:p>
    <w:p w:rsidR="001170F6" w:rsidRPr="008067AE" w:rsidRDefault="001170F6" w:rsidP="00201043">
      <w:pPr>
        <w:pStyle w:val="ListParagraph"/>
        <w:numPr>
          <w:ilvl w:val="0"/>
          <w:numId w:val="28"/>
        </w:numPr>
        <w:ind w:left="426"/>
        <w:rPr>
          <w:b/>
          <w:sz w:val="22"/>
          <w:szCs w:val="22"/>
        </w:rPr>
      </w:pPr>
      <w:r w:rsidRPr="008067AE">
        <w:rPr>
          <w:sz w:val="22"/>
          <w:szCs w:val="22"/>
        </w:rPr>
        <w:t>M</w:t>
      </w:r>
      <w:r w:rsidR="000D6B72" w:rsidRPr="008067AE">
        <w:rPr>
          <w:sz w:val="22"/>
          <w:szCs w:val="22"/>
        </w:rPr>
        <w:t xml:space="preserve">ission </w:t>
      </w:r>
      <w:r w:rsidRPr="008067AE">
        <w:rPr>
          <w:sz w:val="22"/>
          <w:szCs w:val="22"/>
        </w:rPr>
        <w:t>D</w:t>
      </w:r>
      <w:r w:rsidR="000D6B72" w:rsidRPr="008067AE">
        <w:rPr>
          <w:sz w:val="22"/>
          <w:szCs w:val="22"/>
        </w:rPr>
        <w:t xml:space="preserve">iscipleship and </w:t>
      </w:r>
      <w:r w:rsidRPr="008067AE">
        <w:rPr>
          <w:sz w:val="22"/>
          <w:szCs w:val="22"/>
        </w:rPr>
        <w:t>M</w:t>
      </w:r>
      <w:r w:rsidR="000D6B72" w:rsidRPr="008067AE">
        <w:rPr>
          <w:sz w:val="22"/>
          <w:szCs w:val="22"/>
        </w:rPr>
        <w:t>inistry</w:t>
      </w:r>
      <w:r w:rsidR="005F08E4" w:rsidRPr="008067AE">
        <w:rPr>
          <w:sz w:val="22"/>
          <w:szCs w:val="22"/>
        </w:rPr>
        <w:t>:</w:t>
      </w:r>
      <w:r w:rsidRPr="008067AE">
        <w:rPr>
          <w:sz w:val="22"/>
          <w:szCs w:val="22"/>
        </w:rPr>
        <w:t xml:space="preserve"> </w:t>
      </w:r>
      <w:r w:rsidR="008067AE">
        <w:rPr>
          <w:sz w:val="22"/>
          <w:szCs w:val="22"/>
        </w:rPr>
        <w:t xml:space="preserve">The </w:t>
      </w:r>
      <w:r w:rsidR="002A7C43" w:rsidRPr="008067AE">
        <w:rPr>
          <w:sz w:val="22"/>
          <w:szCs w:val="22"/>
        </w:rPr>
        <w:t xml:space="preserve">Stewardship Advisor post </w:t>
      </w:r>
      <w:r w:rsidR="008067AE">
        <w:rPr>
          <w:sz w:val="22"/>
          <w:szCs w:val="22"/>
        </w:rPr>
        <w:t xml:space="preserve">remained unfulfilled </w:t>
      </w:r>
      <w:r w:rsidR="002A7C43" w:rsidRPr="008067AE">
        <w:rPr>
          <w:sz w:val="22"/>
          <w:szCs w:val="22"/>
        </w:rPr>
        <w:t>in 2019</w:t>
      </w:r>
      <w:r w:rsidR="008067AE">
        <w:rPr>
          <w:sz w:val="22"/>
          <w:szCs w:val="22"/>
        </w:rPr>
        <w:t xml:space="preserve"> forecast but remains in the 2020 budget.</w:t>
      </w:r>
    </w:p>
    <w:p w:rsidR="00201043" w:rsidRPr="008067AE" w:rsidRDefault="0013101B" w:rsidP="00201043">
      <w:pPr>
        <w:pStyle w:val="ListParagraph"/>
        <w:numPr>
          <w:ilvl w:val="0"/>
          <w:numId w:val="28"/>
        </w:numPr>
        <w:ind w:left="426"/>
        <w:rPr>
          <w:sz w:val="22"/>
          <w:szCs w:val="22"/>
        </w:rPr>
      </w:pPr>
      <w:r w:rsidRPr="008067AE">
        <w:rPr>
          <w:sz w:val="22"/>
          <w:szCs w:val="22"/>
        </w:rPr>
        <w:t xml:space="preserve">Mission and Society: </w:t>
      </w:r>
      <w:r w:rsidRPr="008067AE">
        <w:rPr>
          <w:rFonts w:asciiTheme="minorHAnsi" w:hAnsiTheme="minorHAnsi"/>
          <w:sz w:val="22"/>
          <w:szCs w:val="22"/>
        </w:rPr>
        <w:t>A</w:t>
      </w:r>
      <w:r w:rsidR="005F08E4" w:rsidRPr="008067AE">
        <w:rPr>
          <w:rFonts w:asciiTheme="minorHAnsi" w:hAnsiTheme="minorHAnsi"/>
          <w:sz w:val="22"/>
          <w:szCs w:val="22"/>
        </w:rPr>
        <w:t xml:space="preserve"> new</w:t>
      </w:r>
      <w:r w:rsidRPr="008067AE">
        <w:rPr>
          <w:rFonts w:asciiTheme="minorHAnsi" w:hAnsiTheme="minorHAnsi"/>
          <w:sz w:val="22"/>
          <w:szCs w:val="22"/>
        </w:rPr>
        <w:t xml:space="preserve"> part time Social Justice post has been included in the budget for 2020</w:t>
      </w:r>
      <w:r w:rsidR="00BB2DB8" w:rsidRPr="008067AE">
        <w:rPr>
          <w:rFonts w:asciiTheme="minorHAnsi" w:hAnsiTheme="minorHAnsi"/>
          <w:sz w:val="22"/>
          <w:szCs w:val="22"/>
        </w:rPr>
        <w:t>.</w:t>
      </w:r>
    </w:p>
    <w:p w:rsidR="0013101B" w:rsidRPr="008067AE" w:rsidRDefault="0013101B" w:rsidP="00201043">
      <w:pPr>
        <w:pStyle w:val="ListParagraph"/>
        <w:numPr>
          <w:ilvl w:val="0"/>
          <w:numId w:val="28"/>
        </w:numPr>
        <w:ind w:left="426"/>
        <w:rPr>
          <w:sz w:val="22"/>
          <w:szCs w:val="22"/>
        </w:rPr>
      </w:pPr>
      <w:r w:rsidRPr="008067AE">
        <w:rPr>
          <w:rFonts w:asciiTheme="minorHAnsi" w:hAnsiTheme="minorHAnsi"/>
          <w:sz w:val="22"/>
          <w:szCs w:val="22"/>
        </w:rPr>
        <w:t>Education: the restructure of PWDAT has led to a reduced amount of staff.</w:t>
      </w:r>
    </w:p>
    <w:p w:rsidR="0013101B" w:rsidRPr="008067AE" w:rsidRDefault="0013101B" w:rsidP="00201043">
      <w:pPr>
        <w:pStyle w:val="ListParagraph"/>
        <w:numPr>
          <w:ilvl w:val="0"/>
          <w:numId w:val="28"/>
        </w:numPr>
        <w:ind w:left="426"/>
        <w:rPr>
          <w:sz w:val="22"/>
          <w:szCs w:val="22"/>
        </w:rPr>
      </w:pPr>
      <w:r w:rsidRPr="008067AE">
        <w:rPr>
          <w:rFonts w:asciiTheme="minorHAnsi" w:hAnsiTheme="minorHAnsi"/>
          <w:sz w:val="22"/>
          <w:szCs w:val="22"/>
        </w:rPr>
        <w:t xml:space="preserve">Safeguarding: in line with increasing </w:t>
      </w:r>
      <w:r w:rsidR="005F08E4" w:rsidRPr="008067AE">
        <w:rPr>
          <w:rFonts w:asciiTheme="minorHAnsi" w:hAnsiTheme="minorHAnsi"/>
          <w:sz w:val="22"/>
          <w:szCs w:val="22"/>
        </w:rPr>
        <w:t xml:space="preserve">regulatory </w:t>
      </w:r>
      <w:r w:rsidRPr="008067AE">
        <w:rPr>
          <w:rFonts w:asciiTheme="minorHAnsi" w:hAnsiTheme="minorHAnsi"/>
          <w:sz w:val="22"/>
          <w:szCs w:val="22"/>
        </w:rPr>
        <w:t>requirements we have made the role of the safeguarding officer a permanent one.</w:t>
      </w:r>
    </w:p>
    <w:p w:rsidR="0013101B" w:rsidRPr="008067AE" w:rsidRDefault="0013101B" w:rsidP="00201043">
      <w:pPr>
        <w:pStyle w:val="ListParagraph"/>
        <w:numPr>
          <w:ilvl w:val="0"/>
          <w:numId w:val="28"/>
        </w:numPr>
        <w:ind w:left="426"/>
        <w:rPr>
          <w:rFonts w:asciiTheme="minorHAnsi" w:hAnsiTheme="minorHAnsi"/>
          <w:sz w:val="22"/>
          <w:szCs w:val="22"/>
        </w:rPr>
      </w:pPr>
      <w:r w:rsidRPr="008067AE">
        <w:rPr>
          <w:rFonts w:asciiTheme="minorHAnsi" w:hAnsiTheme="minorHAnsi"/>
          <w:sz w:val="22"/>
          <w:szCs w:val="22"/>
        </w:rPr>
        <w:t>Diocesan office: There was a one-off increase for the purchase of new equipment and increased licencing fees in 2019 which is not expected to reoccur in 2020.</w:t>
      </w:r>
    </w:p>
    <w:p w:rsidR="005F08E4" w:rsidRPr="008067AE" w:rsidRDefault="005F08E4" w:rsidP="008067AE">
      <w:pPr>
        <w:jc w:val="right"/>
        <w:rPr>
          <w:b/>
          <w:color w:val="4472C4" w:themeColor="accent5"/>
          <w:sz w:val="20"/>
        </w:rPr>
      </w:pPr>
      <w:r w:rsidRPr="008067AE">
        <w:rPr>
          <w:b/>
          <w:color w:val="4472C4" w:themeColor="accent5"/>
          <w:sz w:val="20"/>
        </w:rPr>
        <w:t>Lisa Streeter</w:t>
      </w:r>
    </w:p>
    <w:p w:rsidR="005F08E4" w:rsidRPr="008067AE" w:rsidRDefault="005F08E4" w:rsidP="008067AE">
      <w:pPr>
        <w:jc w:val="right"/>
        <w:rPr>
          <w:b/>
          <w:color w:val="4472C4" w:themeColor="accent5"/>
          <w:sz w:val="20"/>
        </w:rPr>
      </w:pPr>
      <w:r w:rsidRPr="008067AE">
        <w:rPr>
          <w:b/>
          <w:color w:val="4472C4" w:themeColor="accent5"/>
          <w:sz w:val="20"/>
        </w:rPr>
        <w:t xml:space="preserve">Finance Director </w:t>
      </w:r>
    </w:p>
    <w:p w:rsidR="005F08E4" w:rsidRPr="008067AE" w:rsidRDefault="005F08E4" w:rsidP="008067AE">
      <w:pPr>
        <w:jc w:val="right"/>
        <w:rPr>
          <w:b/>
          <w:sz w:val="20"/>
        </w:rPr>
      </w:pPr>
      <w:r w:rsidRPr="008067AE">
        <w:rPr>
          <w:b/>
          <w:sz w:val="20"/>
        </w:rPr>
        <w:t>18 October 2019</w:t>
      </w:r>
    </w:p>
    <w:sectPr w:rsidR="005F08E4" w:rsidRPr="008067AE" w:rsidSect="008067AE">
      <w:headerReference w:type="default" r:id="rId10"/>
      <w:foot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62" w:rsidRDefault="00FD5562">
      <w:r>
        <w:separator/>
      </w:r>
    </w:p>
  </w:endnote>
  <w:endnote w:type="continuationSeparator" w:id="0">
    <w:p w:rsidR="00FD5562" w:rsidRDefault="00FD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9888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D9316F" w:rsidRPr="001F5DF0" w:rsidRDefault="00D9316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1F5DF0">
          <w:rPr>
            <w:sz w:val="20"/>
            <w:szCs w:val="20"/>
          </w:rPr>
          <w:fldChar w:fldCharType="begin"/>
        </w:r>
        <w:r w:rsidRPr="001F5DF0">
          <w:rPr>
            <w:sz w:val="20"/>
            <w:szCs w:val="20"/>
          </w:rPr>
          <w:instrText xml:space="preserve"> PAGE   \* MERGEFORMAT </w:instrText>
        </w:r>
        <w:r w:rsidRPr="001F5DF0">
          <w:rPr>
            <w:sz w:val="20"/>
            <w:szCs w:val="20"/>
          </w:rPr>
          <w:fldChar w:fldCharType="separate"/>
        </w:r>
        <w:r w:rsidR="0058461C">
          <w:rPr>
            <w:noProof/>
            <w:sz w:val="20"/>
            <w:szCs w:val="20"/>
          </w:rPr>
          <w:t>1</w:t>
        </w:r>
        <w:r w:rsidRPr="001F5DF0">
          <w:rPr>
            <w:noProof/>
            <w:sz w:val="20"/>
            <w:szCs w:val="20"/>
          </w:rPr>
          <w:fldChar w:fldCharType="end"/>
        </w:r>
        <w:r w:rsidRPr="001F5DF0">
          <w:rPr>
            <w:sz w:val="20"/>
            <w:szCs w:val="20"/>
          </w:rPr>
          <w:t xml:space="preserve"> | </w:t>
        </w:r>
        <w:r w:rsidRPr="001F5DF0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D9316F" w:rsidRDefault="00D93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62" w:rsidRDefault="00FD5562">
      <w:r>
        <w:separator/>
      </w:r>
    </w:p>
  </w:footnote>
  <w:footnote w:type="continuationSeparator" w:id="0">
    <w:p w:rsidR="00FD5562" w:rsidRDefault="00FD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1C" w:rsidRDefault="0058461C" w:rsidP="0058461C">
    <w:pPr>
      <w:pStyle w:val="Header"/>
      <w:jc w:val="right"/>
    </w:pPr>
    <w:r>
      <w:t>Paper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971"/>
    <w:multiLevelType w:val="multilevel"/>
    <w:tmpl w:val="45C4E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E6601CE"/>
    <w:multiLevelType w:val="hybridMultilevel"/>
    <w:tmpl w:val="CA2EF9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66B17"/>
    <w:multiLevelType w:val="hybridMultilevel"/>
    <w:tmpl w:val="61A8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25FB"/>
    <w:multiLevelType w:val="hybridMultilevel"/>
    <w:tmpl w:val="91E47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27923"/>
    <w:multiLevelType w:val="hybridMultilevel"/>
    <w:tmpl w:val="2346B840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72C31A3"/>
    <w:multiLevelType w:val="hybridMultilevel"/>
    <w:tmpl w:val="F23A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3836"/>
    <w:multiLevelType w:val="hybridMultilevel"/>
    <w:tmpl w:val="549C3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07B7"/>
    <w:multiLevelType w:val="hybridMultilevel"/>
    <w:tmpl w:val="2D78A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B6B3A"/>
    <w:multiLevelType w:val="hybridMultilevel"/>
    <w:tmpl w:val="DD76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422F"/>
    <w:multiLevelType w:val="hybridMultilevel"/>
    <w:tmpl w:val="8C7A9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B57A6"/>
    <w:multiLevelType w:val="hybridMultilevel"/>
    <w:tmpl w:val="CE2CF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94F1E"/>
    <w:multiLevelType w:val="hybridMultilevel"/>
    <w:tmpl w:val="FEDC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61064"/>
    <w:multiLevelType w:val="hybridMultilevel"/>
    <w:tmpl w:val="DF38F7C6"/>
    <w:lvl w:ilvl="0" w:tplc="FB2C56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D4D51"/>
    <w:multiLevelType w:val="hybridMultilevel"/>
    <w:tmpl w:val="C3B0B58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9C86F35"/>
    <w:multiLevelType w:val="hybridMultilevel"/>
    <w:tmpl w:val="FF8E8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D1F30"/>
    <w:multiLevelType w:val="hybridMultilevel"/>
    <w:tmpl w:val="377CFFB6"/>
    <w:lvl w:ilvl="0" w:tplc="6F42979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8D4C91"/>
    <w:multiLevelType w:val="hybridMultilevel"/>
    <w:tmpl w:val="3318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74281"/>
    <w:multiLevelType w:val="hybridMultilevel"/>
    <w:tmpl w:val="1EE224E8"/>
    <w:lvl w:ilvl="0" w:tplc="1CB6C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21083"/>
    <w:multiLevelType w:val="multilevel"/>
    <w:tmpl w:val="45C4E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0" w15:restartNumberingAfterBreak="0">
    <w:nsid w:val="589A565F"/>
    <w:multiLevelType w:val="hybridMultilevel"/>
    <w:tmpl w:val="633A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53A9C"/>
    <w:multiLevelType w:val="hybridMultilevel"/>
    <w:tmpl w:val="6FF0C59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BD95254"/>
    <w:multiLevelType w:val="hybridMultilevel"/>
    <w:tmpl w:val="41142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A4091"/>
    <w:multiLevelType w:val="hybridMultilevel"/>
    <w:tmpl w:val="B1BE5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440358"/>
    <w:multiLevelType w:val="hybridMultilevel"/>
    <w:tmpl w:val="10BAF3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B2E54"/>
    <w:multiLevelType w:val="hybridMultilevel"/>
    <w:tmpl w:val="17C090C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9200D31"/>
    <w:multiLevelType w:val="multilevel"/>
    <w:tmpl w:val="45C4E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9"/>
  </w:num>
  <w:num w:numId="5">
    <w:abstractNumId w:val="26"/>
  </w:num>
  <w:num w:numId="6">
    <w:abstractNumId w:val="1"/>
  </w:num>
  <w:num w:numId="7">
    <w:abstractNumId w:val="20"/>
  </w:num>
  <w:num w:numId="8">
    <w:abstractNumId w:val="11"/>
  </w:num>
  <w:num w:numId="9">
    <w:abstractNumId w:val="23"/>
  </w:num>
  <w:num w:numId="10">
    <w:abstractNumId w:val="7"/>
  </w:num>
  <w:num w:numId="11">
    <w:abstractNumId w:val="17"/>
  </w:num>
  <w:num w:numId="12">
    <w:abstractNumId w:val="16"/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5"/>
  </w:num>
  <w:num w:numId="18">
    <w:abstractNumId w:val="22"/>
  </w:num>
  <w:num w:numId="19">
    <w:abstractNumId w:val="9"/>
  </w:num>
  <w:num w:numId="20">
    <w:abstractNumId w:val="6"/>
  </w:num>
  <w:num w:numId="21">
    <w:abstractNumId w:val="13"/>
  </w:num>
  <w:num w:numId="22">
    <w:abstractNumId w:val="4"/>
  </w:num>
  <w:num w:numId="23">
    <w:abstractNumId w:val="21"/>
  </w:num>
  <w:num w:numId="24">
    <w:abstractNumId w:val="14"/>
  </w:num>
  <w:num w:numId="25">
    <w:abstractNumId w:val="25"/>
  </w:num>
  <w:num w:numId="26">
    <w:abstractNumId w:val="3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FC"/>
    <w:rsid w:val="000076CD"/>
    <w:rsid w:val="00032917"/>
    <w:rsid w:val="00035EDD"/>
    <w:rsid w:val="00083FE1"/>
    <w:rsid w:val="000846C4"/>
    <w:rsid w:val="000A3F85"/>
    <w:rsid w:val="000B4D06"/>
    <w:rsid w:val="000D6B72"/>
    <w:rsid w:val="000D741E"/>
    <w:rsid w:val="000E6AEE"/>
    <w:rsid w:val="000F29AA"/>
    <w:rsid w:val="000F781A"/>
    <w:rsid w:val="001170F6"/>
    <w:rsid w:val="0013101B"/>
    <w:rsid w:val="001377DD"/>
    <w:rsid w:val="00140628"/>
    <w:rsid w:val="0016784D"/>
    <w:rsid w:val="00182EE6"/>
    <w:rsid w:val="00182F90"/>
    <w:rsid w:val="00187912"/>
    <w:rsid w:val="001A1536"/>
    <w:rsid w:val="001A1D54"/>
    <w:rsid w:val="001A22A7"/>
    <w:rsid w:val="001A22B5"/>
    <w:rsid w:val="001B6B95"/>
    <w:rsid w:val="001D30B5"/>
    <w:rsid w:val="001D5F12"/>
    <w:rsid w:val="001E4D85"/>
    <w:rsid w:val="001F5DF0"/>
    <w:rsid w:val="00201043"/>
    <w:rsid w:val="00201A8A"/>
    <w:rsid w:val="002A7C43"/>
    <w:rsid w:val="002C7E51"/>
    <w:rsid w:val="002E613B"/>
    <w:rsid w:val="002F5B4C"/>
    <w:rsid w:val="00313E74"/>
    <w:rsid w:val="00314280"/>
    <w:rsid w:val="00327C28"/>
    <w:rsid w:val="003466FF"/>
    <w:rsid w:val="0034688F"/>
    <w:rsid w:val="003532E2"/>
    <w:rsid w:val="00353ACE"/>
    <w:rsid w:val="00366408"/>
    <w:rsid w:val="0039629B"/>
    <w:rsid w:val="003A116A"/>
    <w:rsid w:val="003A4485"/>
    <w:rsid w:val="003A7643"/>
    <w:rsid w:val="003C194E"/>
    <w:rsid w:val="003D7FAA"/>
    <w:rsid w:val="003E2377"/>
    <w:rsid w:val="00407CCB"/>
    <w:rsid w:val="004165B0"/>
    <w:rsid w:val="00443C9F"/>
    <w:rsid w:val="0044782D"/>
    <w:rsid w:val="0046733F"/>
    <w:rsid w:val="00471091"/>
    <w:rsid w:val="004D1FF0"/>
    <w:rsid w:val="004E1DFB"/>
    <w:rsid w:val="004F713E"/>
    <w:rsid w:val="00525F89"/>
    <w:rsid w:val="00530BEF"/>
    <w:rsid w:val="005437FC"/>
    <w:rsid w:val="00564F4B"/>
    <w:rsid w:val="00566E46"/>
    <w:rsid w:val="0058125E"/>
    <w:rsid w:val="0058461C"/>
    <w:rsid w:val="0059441F"/>
    <w:rsid w:val="005E1667"/>
    <w:rsid w:val="005F08E4"/>
    <w:rsid w:val="00637845"/>
    <w:rsid w:val="00644218"/>
    <w:rsid w:val="00647F10"/>
    <w:rsid w:val="006551A8"/>
    <w:rsid w:val="00656822"/>
    <w:rsid w:val="006B152F"/>
    <w:rsid w:val="006C439E"/>
    <w:rsid w:val="006D5829"/>
    <w:rsid w:val="006F00F0"/>
    <w:rsid w:val="0070133A"/>
    <w:rsid w:val="007045E0"/>
    <w:rsid w:val="00704C5A"/>
    <w:rsid w:val="007138A7"/>
    <w:rsid w:val="0072127D"/>
    <w:rsid w:val="00735F88"/>
    <w:rsid w:val="00736429"/>
    <w:rsid w:val="00736502"/>
    <w:rsid w:val="00740806"/>
    <w:rsid w:val="00764F34"/>
    <w:rsid w:val="00771C8B"/>
    <w:rsid w:val="00771CCE"/>
    <w:rsid w:val="007739E8"/>
    <w:rsid w:val="00782626"/>
    <w:rsid w:val="0078436D"/>
    <w:rsid w:val="00786242"/>
    <w:rsid w:val="007A2C8F"/>
    <w:rsid w:val="007A3B5E"/>
    <w:rsid w:val="007A6245"/>
    <w:rsid w:val="007B1627"/>
    <w:rsid w:val="007B2AB2"/>
    <w:rsid w:val="007B6FC5"/>
    <w:rsid w:val="007F6449"/>
    <w:rsid w:val="008007FC"/>
    <w:rsid w:val="008067AE"/>
    <w:rsid w:val="008148DC"/>
    <w:rsid w:val="00815E09"/>
    <w:rsid w:val="0086289E"/>
    <w:rsid w:val="00873B56"/>
    <w:rsid w:val="00882880"/>
    <w:rsid w:val="00883F57"/>
    <w:rsid w:val="008947DA"/>
    <w:rsid w:val="00896506"/>
    <w:rsid w:val="008E4611"/>
    <w:rsid w:val="0090469E"/>
    <w:rsid w:val="00905E6C"/>
    <w:rsid w:val="00915D5A"/>
    <w:rsid w:val="0092454D"/>
    <w:rsid w:val="00925AF8"/>
    <w:rsid w:val="00927412"/>
    <w:rsid w:val="009366A6"/>
    <w:rsid w:val="0093707E"/>
    <w:rsid w:val="00946684"/>
    <w:rsid w:val="00961471"/>
    <w:rsid w:val="00992E7E"/>
    <w:rsid w:val="009942CD"/>
    <w:rsid w:val="009B1706"/>
    <w:rsid w:val="009D4228"/>
    <w:rsid w:val="009E2C1E"/>
    <w:rsid w:val="009E6CEB"/>
    <w:rsid w:val="009F7E98"/>
    <w:rsid w:val="00A03211"/>
    <w:rsid w:val="00A0655A"/>
    <w:rsid w:val="00A13255"/>
    <w:rsid w:val="00A238EB"/>
    <w:rsid w:val="00A266D0"/>
    <w:rsid w:val="00A27E9B"/>
    <w:rsid w:val="00A4273B"/>
    <w:rsid w:val="00A43DF5"/>
    <w:rsid w:val="00A65A33"/>
    <w:rsid w:val="00A84FC2"/>
    <w:rsid w:val="00A859C9"/>
    <w:rsid w:val="00A9514C"/>
    <w:rsid w:val="00AA568D"/>
    <w:rsid w:val="00AB2A3F"/>
    <w:rsid w:val="00AB4D49"/>
    <w:rsid w:val="00AB4EB1"/>
    <w:rsid w:val="00AC430E"/>
    <w:rsid w:val="00AD7B08"/>
    <w:rsid w:val="00AE52A2"/>
    <w:rsid w:val="00B05BA0"/>
    <w:rsid w:val="00B40F13"/>
    <w:rsid w:val="00B424BA"/>
    <w:rsid w:val="00B73FB6"/>
    <w:rsid w:val="00BA5640"/>
    <w:rsid w:val="00BB2DB8"/>
    <w:rsid w:val="00BD3844"/>
    <w:rsid w:val="00BE17BF"/>
    <w:rsid w:val="00BF119E"/>
    <w:rsid w:val="00C0123E"/>
    <w:rsid w:val="00C03381"/>
    <w:rsid w:val="00C21CEE"/>
    <w:rsid w:val="00C23D49"/>
    <w:rsid w:val="00C3191E"/>
    <w:rsid w:val="00C80119"/>
    <w:rsid w:val="00C94CD6"/>
    <w:rsid w:val="00C960F3"/>
    <w:rsid w:val="00CA0307"/>
    <w:rsid w:val="00CB79F3"/>
    <w:rsid w:val="00CD4AD6"/>
    <w:rsid w:val="00CD4E46"/>
    <w:rsid w:val="00CD4EB4"/>
    <w:rsid w:val="00CE2163"/>
    <w:rsid w:val="00CF3A98"/>
    <w:rsid w:val="00D15027"/>
    <w:rsid w:val="00D20589"/>
    <w:rsid w:val="00D46AC6"/>
    <w:rsid w:val="00D55ED9"/>
    <w:rsid w:val="00D567F7"/>
    <w:rsid w:val="00D61922"/>
    <w:rsid w:val="00D63201"/>
    <w:rsid w:val="00D83A1D"/>
    <w:rsid w:val="00D8513E"/>
    <w:rsid w:val="00D85F90"/>
    <w:rsid w:val="00D9316F"/>
    <w:rsid w:val="00DC2202"/>
    <w:rsid w:val="00DE34D4"/>
    <w:rsid w:val="00DE621F"/>
    <w:rsid w:val="00DF23C1"/>
    <w:rsid w:val="00DF501B"/>
    <w:rsid w:val="00DF61BA"/>
    <w:rsid w:val="00E02562"/>
    <w:rsid w:val="00E05F83"/>
    <w:rsid w:val="00E23D93"/>
    <w:rsid w:val="00E40C51"/>
    <w:rsid w:val="00E61230"/>
    <w:rsid w:val="00E6186A"/>
    <w:rsid w:val="00E77580"/>
    <w:rsid w:val="00E910E1"/>
    <w:rsid w:val="00E91A76"/>
    <w:rsid w:val="00EA54A8"/>
    <w:rsid w:val="00ED238E"/>
    <w:rsid w:val="00ED66AE"/>
    <w:rsid w:val="00EE28AD"/>
    <w:rsid w:val="00EF040D"/>
    <w:rsid w:val="00EF3677"/>
    <w:rsid w:val="00EF45AC"/>
    <w:rsid w:val="00F06D64"/>
    <w:rsid w:val="00F13AEB"/>
    <w:rsid w:val="00F21D2C"/>
    <w:rsid w:val="00F21E41"/>
    <w:rsid w:val="00F32928"/>
    <w:rsid w:val="00F63224"/>
    <w:rsid w:val="00F727CD"/>
    <w:rsid w:val="00F95917"/>
    <w:rsid w:val="00F95A9E"/>
    <w:rsid w:val="00FB0B9C"/>
    <w:rsid w:val="00FB1F60"/>
    <w:rsid w:val="00FB429D"/>
    <w:rsid w:val="00FD1BB5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5137DF6B"/>
  <w15:chartTrackingRefBased/>
  <w15:docId w15:val="{2A623D2F-1BDF-43F8-AA23-74103D66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186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73FB6"/>
    <w:pPr>
      <w:ind w:left="720"/>
    </w:pPr>
  </w:style>
  <w:style w:type="table" w:styleId="TableGrid">
    <w:name w:val="Table Grid"/>
    <w:basedOn w:val="TableNormal"/>
    <w:rsid w:val="00784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27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7412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5DF0"/>
    <w:rPr>
      <w:rFonts w:ascii="Calibri" w:hAnsi="Calibri" w:cs="Arial"/>
      <w:sz w:val="24"/>
      <w:szCs w:val="24"/>
    </w:rPr>
  </w:style>
  <w:style w:type="table" w:styleId="PlainTable1">
    <w:name w:val="Plain Table 1"/>
    <w:basedOn w:val="TableNormal"/>
    <w:uiPriority w:val="41"/>
    <w:rsid w:val="00B05B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F727CD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614B-2A07-4513-BB1A-5F35B240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Colin Harbidge</dc:creator>
  <cp:keywords/>
  <dc:description/>
  <cp:lastModifiedBy>Lauren McDermott</cp:lastModifiedBy>
  <cp:revision>2</cp:revision>
  <cp:lastPrinted>2019-05-22T14:07:00Z</cp:lastPrinted>
  <dcterms:created xsi:type="dcterms:W3CDTF">2019-10-18T13:10:00Z</dcterms:created>
  <dcterms:modified xsi:type="dcterms:W3CDTF">2019-10-18T13:10:00Z</dcterms:modified>
</cp:coreProperties>
</file>