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1334E" w14:textId="77777777" w:rsidR="00325120" w:rsidRDefault="00571E0F" w:rsidP="00325120">
      <w:pPr>
        <w:pStyle w:val="Heading1"/>
        <w:spacing w:before="120"/>
      </w:pPr>
      <w:bookmarkStart w:id="0" w:name="_GoBack"/>
      <w:bookmarkEnd w:id="0"/>
      <w:r>
        <w:t xml:space="preserve">Diocesan </w:t>
      </w:r>
      <w:r w:rsidR="00680015">
        <w:t>Budget 2019</w:t>
      </w:r>
    </w:p>
    <w:p w14:paraId="05EA130D" w14:textId="77777777" w:rsidR="00D3393F" w:rsidRPr="00D3393F" w:rsidRDefault="00D3393F" w:rsidP="00D3393F"/>
    <w:p w14:paraId="7FE999C8" w14:textId="77777777" w:rsidR="00325120" w:rsidRDefault="00325120" w:rsidP="00325120">
      <w:pPr>
        <w:rPr>
          <w:rFonts w:ascii="Calibri" w:hAnsi="Calibri"/>
        </w:rPr>
      </w:pPr>
      <w:r>
        <w:rPr>
          <w:rFonts w:ascii="Calibri" w:hAnsi="Calibri"/>
        </w:rPr>
        <w:t xml:space="preserve">This paper presents Bishop’s Council’s proposed budget for 2019 for Synod’s approval.  </w:t>
      </w:r>
    </w:p>
    <w:p w14:paraId="3FBD9979" w14:textId="77777777" w:rsidR="005909B1" w:rsidRDefault="00325120" w:rsidP="005909B1">
      <w:pPr>
        <w:pStyle w:val="Heading2"/>
      </w:pPr>
      <w:r>
        <w:t>Background</w:t>
      </w:r>
    </w:p>
    <w:p w14:paraId="67B58EB2" w14:textId="6C74BA56" w:rsidR="00325120" w:rsidRPr="00325120" w:rsidRDefault="00325120" w:rsidP="00325120">
      <w:pPr>
        <w:rPr>
          <w:rFonts w:asciiTheme="minorHAnsi" w:hAnsiTheme="minorHAnsi"/>
        </w:rPr>
      </w:pPr>
      <w:r w:rsidRPr="00325120">
        <w:rPr>
          <w:rFonts w:asciiTheme="minorHAnsi" w:hAnsiTheme="minorHAnsi"/>
        </w:rPr>
        <w:t>The Portsmouth DBF</w:t>
      </w:r>
      <w:r>
        <w:rPr>
          <w:rFonts w:asciiTheme="minorHAnsi" w:hAnsiTheme="minorHAnsi"/>
        </w:rPr>
        <w:t xml:space="preserve"> aims for a 3 year budget cycle and </w:t>
      </w:r>
      <w:r w:rsidR="00D12361">
        <w:rPr>
          <w:rFonts w:asciiTheme="minorHAnsi" w:hAnsiTheme="minorHAnsi"/>
        </w:rPr>
        <w:t>throughout</w:t>
      </w:r>
      <w:r>
        <w:rPr>
          <w:rFonts w:asciiTheme="minorHAnsi" w:hAnsiTheme="minorHAnsi"/>
        </w:rPr>
        <w:t xml:space="preserve"> the </w:t>
      </w:r>
      <w:r w:rsidR="007E66CE">
        <w:rPr>
          <w:rFonts w:asciiTheme="minorHAnsi" w:hAnsiTheme="minorHAnsi"/>
        </w:rPr>
        <w:t xml:space="preserve">triennium </w:t>
      </w:r>
      <w:r>
        <w:rPr>
          <w:rFonts w:asciiTheme="minorHAnsi" w:hAnsiTheme="minorHAnsi"/>
        </w:rPr>
        <w:t xml:space="preserve">ending in 2018 the policy has been to keep budget increases to the minimum necessary to carry out the identified mission and associated tasks directed by Synod, and to ensure that such increases do not exceed the </w:t>
      </w:r>
      <w:r w:rsidR="007E66CE">
        <w:rPr>
          <w:rFonts w:asciiTheme="minorHAnsi" w:hAnsiTheme="minorHAnsi"/>
        </w:rPr>
        <w:t>Consumer Price Index (</w:t>
      </w:r>
      <w:r>
        <w:rPr>
          <w:rFonts w:asciiTheme="minorHAnsi" w:hAnsiTheme="minorHAnsi"/>
        </w:rPr>
        <w:t>CPI</w:t>
      </w:r>
      <w:r w:rsidR="007E66CE">
        <w:rPr>
          <w:rFonts w:asciiTheme="minorHAnsi" w:hAnsiTheme="minorHAnsi"/>
        </w:rPr>
        <w:t>)</w:t>
      </w:r>
      <w:r>
        <w:rPr>
          <w:rFonts w:asciiTheme="minorHAnsi" w:hAnsiTheme="minorHAnsi"/>
        </w:rPr>
        <w:t xml:space="preserve"> rate. This was adhered to</w:t>
      </w:r>
      <w:r w:rsidR="00D12361">
        <w:rPr>
          <w:rFonts w:asciiTheme="minorHAnsi" w:hAnsiTheme="minorHAnsi"/>
        </w:rPr>
        <w:t>,</w:t>
      </w:r>
      <w:r>
        <w:rPr>
          <w:rFonts w:asciiTheme="minorHAnsi" w:hAnsiTheme="minorHAnsi"/>
        </w:rPr>
        <w:t xml:space="preserve"> and indeed</w:t>
      </w:r>
      <w:r w:rsidR="00D12361">
        <w:rPr>
          <w:rFonts w:asciiTheme="minorHAnsi" w:hAnsiTheme="minorHAnsi"/>
        </w:rPr>
        <w:t xml:space="preserve"> the 2018 budget reflected an increase of 2% despite CPI being predicted at 3%.</w:t>
      </w:r>
    </w:p>
    <w:p w14:paraId="3B303767" w14:textId="77777777" w:rsidR="00325120" w:rsidRDefault="00D12361" w:rsidP="00325120">
      <w:pPr>
        <w:rPr>
          <w:rFonts w:asciiTheme="minorHAnsi" w:hAnsiTheme="minorHAnsi"/>
        </w:rPr>
      </w:pPr>
      <w:r>
        <w:rPr>
          <w:rFonts w:asciiTheme="minorHAnsi" w:hAnsiTheme="minorHAnsi"/>
        </w:rPr>
        <w:t xml:space="preserve">This commitment to keeping budget increases to a minimum and engaging in a full consultation process over the shaping of the diocesan budget in support of the Diocesan strategy continues, but the consultation process </w:t>
      </w:r>
      <w:r w:rsidR="00C829CB">
        <w:rPr>
          <w:rFonts w:asciiTheme="minorHAnsi" w:hAnsiTheme="minorHAnsi"/>
        </w:rPr>
        <w:t>planned for</w:t>
      </w:r>
      <w:r>
        <w:rPr>
          <w:rFonts w:asciiTheme="minorHAnsi" w:hAnsiTheme="minorHAnsi"/>
        </w:rPr>
        <w:t xml:space="preserve"> 2018 to inform the budget and strategy for the years 2019 to 2021 </w:t>
      </w:r>
      <w:r w:rsidR="00C829CB">
        <w:rPr>
          <w:rFonts w:asciiTheme="minorHAnsi" w:hAnsiTheme="minorHAnsi"/>
        </w:rPr>
        <w:t>did not take place for several reasons:</w:t>
      </w:r>
    </w:p>
    <w:p w14:paraId="284FEEA0" w14:textId="3E4F6847" w:rsidR="007E66CE" w:rsidRDefault="007E66CE" w:rsidP="006F64C6">
      <w:pPr>
        <w:pStyle w:val="ListParagraph"/>
        <w:numPr>
          <w:ilvl w:val="0"/>
          <w:numId w:val="46"/>
        </w:numPr>
        <w:rPr>
          <w:rFonts w:asciiTheme="minorHAnsi" w:hAnsiTheme="minorHAnsi"/>
        </w:rPr>
      </w:pPr>
      <w:r>
        <w:rPr>
          <w:rFonts w:asciiTheme="minorHAnsi" w:hAnsiTheme="minorHAnsi"/>
        </w:rPr>
        <w:t xml:space="preserve">The Diocesan Synod, in November 2017, requested that each deanery gather and provide the Synod with a report on the existing and proposed plans of the deanery and its parishes that address the challenge of </w:t>
      </w:r>
      <w:r w:rsidRPr="007E66CE">
        <w:rPr>
          <w:rFonts w:asciiTheme="majorHAnsi" w:hAnsiTheme="majorHAnsi"/>
        </w:rPr>
        <w:t>Live¦Pray¦Serve</w:t>
      </w:r>
      <w:r>
        <w:rPr>
          <w:rFonts w:asciiTheme="majorHAnsi" w:hAnsiTheme="majorHAnsi"/>
        </w:rPr>
        <w:t xml:space="preserve">. </w:t>
      </w:r>
      <w:r>
        <w:rPr>
          <w:rFonts w:asciiTheme="minorHAnsi" w:hAnsiTheme="minorHAnsi"/>
        </w:rPr>
        <w:t>This was presented to Synod in June 2018 due to the scale of the work involved for the parishes and deaneries.</w:t>
      </w:r>
    </w:p>
    <w:p w14:paraId="43CA441B" w14:textId="14591E25" w:rsidR="00C829CB" w:rsidRDefault="00C829CB" w:rsidP="006F64C6">
      <w:pPr>
        <w:pStyle w:val="ListParagraph"/>
        <w:numPr>
          <w:ilvl w:val="0"/>
          <w:numId w:val="46"/>
        </w:numPr>
        <w:rPr>
          <w:rFonts w:asciiTheme="minorHAnsi" w:hAnsiTheme="minorHAnsi"/>
        </w:rPr>
      </w:pPr>
      <w:r w:rsidRPr="006F64C6">
        <w:rPr>
          <w:rFonts w:asciiTheme="minorHAnsi" w:hAnsiTheme="minorHAnsi"/>
        </w:rPr>
        <w:t>Clearly it is important to have clarity of strategy for our mission to enable a meaningful budget to be constructed to support activities in the next few years</w:t>
      </w:r>
      <w:r w:rsidR="007E66CE">
        <w:rPr>
          <w:rFonts w:asciiTheme="minorHAnsi" w:hAnsiTheme="minorHAnsi"/>
        </w:rPr>
        <w:t xml:space="preserve"> and so it was determined that further </w:t>
      </w:r>
      <w:r w:rsidR="003818D2">
        <w:rPr>
          <w:rFonts w:asciiTheme="minorHAnsi" w:hAnsiTheme="minorHAnsi"/>
        </w:rPr>
        <w:t>consultation and strategic planning was required to enable this</w:t>
      </w:r>
    </w:p>
    <w:p w14:paraId="09BD2FC6" w14:textId="39613A97" w:rsidR="003818D2" w:rsidRPr="006F64C6" w:rsidRDefault="003818D2" w:rsidP="006F64C6">
      <w:pPr>
        <w:pStyle w:val="ListParagraph"/>
        <w:numPr>
          <w:ilvl w:val="0"/>
          <w:numId w:val="46"/>
        </w:numPr>
        <w:rPr>
          <w:rFonts w:asciiTheme="minorHAnsi" w:hAnsiTheme="minorHAnsi"/>
        </w:rPr>
      </w:pPr>
      <w:r>
        <w:rPr>
          <w:rFonts w:asciiTheme="minorHAnsi" w:hAnsiTheme="minorHAnsi"/>
        </w:rPr>
        <w:t>It was deemed illogical to se</w:t>
      </w:r>
      <w:r w:rsidR="00C35C5D">
        <w:rPr>
          <w:rFonts w:asciiTheme="minorHAnsi" w:hAnsiTheme="minorHAnsi"/>
        </w:rPr>
        <w:t>t a triennial budget and so tie</w:t>
      </w:r>
      <w:r>
        <w:rPr>
          <w:rFonts w:asciiTheme="minorHAnsi" w:hAnsiTheme="minorHAnsi"/>
        </w:rPr>
        <w:t xml:space="preserve"> the hands of a new Diocesan Secretary just prior to their appointment.</w:t>
      </w:r>
    </w:p>
    <w:p w14:paraId="3EBA0AEA" w14:textId="2EE6AF55" w:rsidR="00D12361" w:rsidRDefault="00B4628E" w:rsidP="00325120">
      <w:pPr>
        <w:rPr>
          <w:rFonts w:asciiTheme="minorHAnsi" w:hAnsiTheme="minorHAnsi"/>
        </w:rPr>
      </w:pPr>
      <w:r>
        <w:rPr>
          <w:rFonts w:asciiTheme="minorHAnsi" w:hAnsiTheme="minorHAnsi"/>
        </w:rPr>
        <w:t>In this context the June meeting of the Bishop</w:t>
      </w:r>
      <w:r w:rsidR="003818D2">
        <w:rPr>
          <w:rFonts w:asciiTheme="minorHAnsi" w:hAnsiTheme="minorHAnsi"/>
        </w:rPr>
        <w:t>’</w:t>
      </w:r>
      <w:r>
        <w:rPr>
          <w:rFonts w:asciiTheme="minorHAnsi" w:hAnsiTheme="minorHAnsi"/>
        </w:rPr>
        <w:t>s Council approved an uplift to the parish share budget for 2019 of CPI; which at that time was anticipated to be around 2%</w:t>
      </w:r>
      <w:r w:rsidR="009C7FA4">
        <w:rPr>
          <w:rFonts w:asciiTheme="minorHAnsi" w:hAnsiTheme="minorHAnsi"/>
        </w:rPr>
        <w:t>.</w:t>
      </w:r>
    </w:p>
    <w:p w14:paraId="0241807D" w14:textId="495113A7" w:rsidR="00D12361" w:rsidRDefault="00B4628E" w:rsidP="00603E6B">
      <w:pPr>
        <w:rPr>
          <w:rFonts w:asciiTheme="minorHAnsi" w:hAnsiTheme="minorHAnsi"/>
        </w:rPr>
      </w:pPr>
      <w:r>
        <w:rPr>
          <w:rFonts w:asciiTheme="minorHAnsi" w:hAnsiTheme="minorHAnsi"/>
        </w:rPr>
        <w:t>The CPI rate published for the year to June 2018 proved to be 2.4%, with the CPIH (a rate that incorporates owner occupier housing costs)</w:t>
      </w:r>
      <w:r w:rsidR="00603E6B">
        <w:rPr>
          <w:rFonts w:asciiTheme="minorHAnsi" w:hAnsiTheme="minorHAnsi"/>
        </w:rPr>
        <w:t xml:space="preserve"> unusually being slightly lower at 2.3%. Indicative values by parish for the allocation of a budget based on a 2.3% increase in parish share were circulated to parishes </w:t>
      </w:r>
      <w:r w:rsidR="009C7FA4">
        <w:rPr>
          <w:rFonts w:asciiTheme="minorHAnsi" w:hAnsiTheme="minorHAnsi"/>
        </w:rPr>
        <w:t>;</w:t>
      </w:r>
      <w:r w:rsidR="00603E6B">
        <w:rPr>
          <w:rFonts w:asciiTheme="minorHAnsi" w:hAnsiTheme="minorHAnsi"/>
        </w:rPr>
        <w:t xml:space="preserve">feedback </w:t>
      </w:r>
      <w:r w:rsidR="009C7FA4">
        <w:rPr>
          <w:rFonts w:asciiTheme="minorHAnsi" w:hAnsiTheme="minorHAnsi"/>
        </w:rPr>
        <w:t xml:space="preserve">was </w:t>
      </w:r>
      <w:r w:rsidR="00603E6B">
        <w:rPr>
          <w:rFonts w:asciiTheme="minorHAnsi" w:hAnsiTheme="minorHAnsi"/>
        </w:rPr>
        <w:t>invited</w:t>
      </w:r>
      <w:r w:rsidR="009C7FA4">
        <w:rPr>
          <w:rFonts w:asciiTheme="minorHAnsi" w:hAnsiTheme="minorHAnsi"/>
        </w:rPr>
        <w:t xml:space="preserve"> and some was received</w:t>
      </w:r>
      <w:r w:rsidR="00603E6B">
        <w:rPr>
          <w:rFonts w:asciiTheme="minorHAnsi" w:hAnsiTheme="minorHAnsi"/>
        </w:rPr>
        <w:t>.</w:t>
      </w:r>
    </w:p>
    <w:p w14:paraId="25EAE7D8" w14:textId="77777777" w:rsidR="00D3393F" w:rsidRPr="00603E6B" w:rsidRDefault="00D3393F" w:rsidP="00603E6B">
      <w:pPr>
        <w:rPr>
          <w:rFonts w:asciiTheme="minorHAnsi" w:hAnsiTheme="minorHAnsi"/>
        </w:rPr>
      </w:pPr>
    </w:p>
    <w:p w14:paraId="3FCD184C" w14:textId="77777777" w:rsidR="00603E6B" w:rsidRPr="00603E6B" w:rsidRDefault="00603E6B" w:rsidP="00603E6B">
      <w:pPr>
        <w:pStyle w:val="Heading2"/>
      </w:pPr>
      <w:r w:rsidRPr="00603E6B">
        <w:t>Parish Share</w:t>
      </w:r>
    </w:p>
    <w:p w14:paraId="3A29E963" w14:textId="28DA2ECC" w:rsidR="00151A9D" w:rsidRDefault="00603E6B" w:rsidP="003249FF">
      <w:pPr>
        <w:rPr>
          <w:rFonts w:asciiTheme="minorHAnsi" w:hAnsiTheme="minorHAnsi"/>
        </w:rPr>
      </w:pPr>
      <w:r>
        <w:rPr>
          <w:rFonts w:asciiTheme="minorHAnsi" w:hAnsiTheme="minorHAnsi"/>
        </w:rPr>
        <w:t xml:space="preserve">The principle of contributions being based on an ability to pay that underpins our parish share system has served the Diocese well over the years as reflected in the high collection </w:t>
      </w:r>
      <w:r w:rsidR="00151A9D">
        <w:rPr>
          <w:rFonts w:asciiTheme="minorHAnsi" w:hAnsiTheme="minorHAnsi"/>
        </w:rPr>
        <w:t>rate consistently achieved. Since t</w:t>
      </w:r>
      <w:r>
        <w:rPr>
          <w:rFonts w:asciiTheme="minorHAnsi" w:hAnsiTheme="minorHAnsi"/>
        </w:rPr>
        <w:t>he ability to pay is calculated by a formula that takes into consideration both wealth (</w:t>
      </w:r>
      <w:r w:rsidR="009C7FA4">
        <w:rPr>
          <w:rFonts w:asciiTheme="minorHAnsi" w:hAnsiTheme="minorHAnsi"/>
        </w:rPr>
        <w:t>‘wealth’ being indicated by income not capital</w:t>
      </w:r>
      <w:r w:rsidR="003818D2">
        <w:rPr>
          <w:rFonts w:asciiTheme="minorHAnsi" w:hAnsiTheme="minorHAnsi"/>
        </w:rPr>
        <w:t xml:space="preserve"> assets</w:t>
      </w:r>
      <w:r w:rsidR="009C7FA4">
        <w:rPr>
          <w:rFonts w:asciiTheme="minorHAnsi" w:hAnsiTheme="minorHAnsi"/>
        </w:rPr>
        <w:t xml:space="preserve">, </w:t>
      </w:r>
      <w:r>
        <w:rPr>
          <w:rFonts w:asciiTheme="minorHAnsi" w:hAnsiTheme="minorHAnsi"/>
        </w:rPr>
        <w:t>as determined by Experian data) and the size of the worshipping community</w:t>
      </w:r>
      <w:r w:rsidR="00151A9D">
        <w:rPr>
          <w:rFonts w:asciiTheme="minorHAnsi" w:hAnsiTheme="minorHAnsi"/>
        </w:rPr>
        <w:t xml:space="preserve"> then any fall in the weekly attendance figure will mean a greater burden on each individual, even if all other factors remain unchanged. </w:t>
      </w:r>
    </w:p>
    <w:p w14:paraId="74EB4345" w14:textId="77777777" w:rsidR="00603E6B" w:rsidRDefault="00151A9D" w:rsidP="003249FF">
      <w:pPr>
        <w:rPr>
          <w:rFonts w:asciiTheme="minorHAnsi" w:hAnsiTheme="minorHAnsi"/>
        </w:rPr>
      </w:pPr>
      <w:r>
        <w:rPr>
          <w:rFonts w:asciiTheme="minorHAnsi" w:hAnsiTheme="minorHAnsi"/>
        </w:rPr>
        <w:t>The total average weekly attendance (AWA) for the Diocese fell by 2.7% and when this fact is combined with an increase of 2.3% in the amount to be collected the effect on a parish whose attendance has remained constant is a 5.2% increase in the amount being requested.</w:t>
      </w:r>
    </w:p>
    <w:p w14:paraId="008092C6" w14:textId="77777777" w:rsidR="00151A9D" w:rsidRDefault="00151A9D" w:rsidP="003249FF">
      <w:pPr>
        <w:rPr>
          <w:rFonts w:asciiTheme="minorHAnsi" w:hAnsiTheme="minorHAnsi"/>
        </w:rPr>
      </w:pPr>
      <w:r>
        <w:rPr>
          <w:rFonts w:asciiTheme="minorHAnsi" w:hAnsiTheme="minorHAnsi"/>
        </w:rPr>
        <w:lastRenderedPageBreak/>
        <w:t xml:space="preserve">This fact causes serious concern to </w:t>
      </w:r>
      <w:r w:rsidR="00C82C2E">
        <w:rPr>
          <w:rFonts w:asciiTheme="minorHAnsi" w:hAnsiTheme="minorHAnsi"/>
        </w:rPr>
        <w:t xml:space="preserve">some </w:t>
      </w:r>
      <w:r>
        <w:rPr>
          <w:rFonts w:asciiTheme="minorHAnsi" w:hAnsiTheme="minorHAnsi"/>
        </w:rPr>
        <w:t>parishes and the process is continually subject to discussion and review. The policy of taking a rolling 10 year average AWA means that the impact</w:t>
      </w:r>
      <w:r w:rsidR="00275119">
        <w:rPr>
          <w:rFonts w:asciiTheme="minorHAnsi" w:hAnsiTheme="minorHAnsi"/>
        </w:rPr>
        <w:t xml:space="preserve"> on share requested from </w:t>
      </w:r>
      <w:r>
        <w:rPr>
          <w:rFonts w:asciiTheme="minorHAnsi" w:hAnsiTheme="minorHAnsi"/>
        </w:rPr>
        <w:t>a growing parish</w:t>
      </w:r>
      <w:r w:rsidR="00275119">
        <w:rPr>
          <w:rFonts w:asciiTheme="minorHAnsi" w:hAnsiTheme="minorHAnsi"/>
        </w:rPr>
        <w:t xml:space="preserve"> is phased in to avoid killing new initiatives in their early years</w:t>
      </w:r>
      <w:r w:rsidR="009C7FA4">
        <w:rPr>
          <w:rFonts w:asciiTheme="minorHAnsi" w:hAnsiTheme="minorHAnsi"/>
        </w:rPr>
        <w:t xml:space="preserve"> and allows for stewardship growth with new congregation members</w:t>
      </w:r>
      <w:r w:rsidR="00275119">
        <w:rPr>
          <w:rFonts w:asciiTheme="minorHAnsi" w:hAnsiTheme="minorHAnsi"/>
        </w:rPr>
        <w:t xml:space="preserve">. Equally the reduction in share for a parish with declining numbers is phased in gradually. The </w:t>
      </w:r>
      <w:r w:rsidR="00C82C2E">
        <w:rPr>
          <w:rFonts w:asciiTheme="minorHAnsi" w:hAnsiTheme="minorHAnsi"/>
        </w:rPr>
        <w:t xml:space="preserve">possible </w:t>
      </w:r>
      <w:r w:rsidR="00275119">
        <w:rPr>
          <w:rFonts w:asciiTheme="minorHAnsi" w:hAnsiTheme="minorHAnsi"/>
        </w:rPr>
        <w:t xml:space="preserve">option of introducing a cap on the percentage increase that any parish can be asked for has been discussed by the DFC but was rejected </w:t>
      </w:r>
      <w:r w:rsidR="00C82C2E">
        <w:rPr>
          <w:rFonts w:asciiTheme="minorHAnsi" w:hAnsiTheme="minorHAnsi"/>
        </w:rPr>
        <w:t>on the basis that any</w:t>
      </w:r>
      <w:r w:rsidR="00275119">
        <w:rPr>
          <w:rFonts w:asciiTheme="minorHAnsi" w:hAnsiTheme="minorHAnsi"/>
        </w:rPr>
        <w:t xml:space="preserve"> </w:t>
      </w:r>
      <w:r w:rsidR="00C82C2E">
        <w:rPr>
          <w:rFonts w:asciiTheme="minorHAnsi" w:hAnsiTheme="minorHAnsi"/>
        </w:rPr>
        <w:t>such general cap would have the effect of building in cumulative deviations from the agreed underlying principles on which share is allocated.</w:t>
      </w:r>
    </w:p>
    <w:p w14:paraId="5F8B6E33" w14:textId="10590480" w:rsidR="00A83724" w:rsidRDefault="00C82C2E" w:rsidP="00196427">
      <w:pPr>
        <w:rPr>
          <w:rFonts w:asciiTheme="minorHAnsi" w:hAnsiTheme="minorHAnsi"/>
        </w:rPr>
      </w:pPr>
      <w:r>
        <w:rPr>
          <w:rFonts w:asciiTheme="minorHAnsi" w:hAnsiTheme="minorHAnsi"/>
        </w:rPr>
        <w:t xml:space="preserve">The question of how new churches and congregations should be incorporated into the parish share system </w:t>
      </w:r>
      <w:r w:rsidR="00196427">
        <w:rPr>
          <w:rFonts w:asciiTheme="minorHAnsi" w:hAnsiTheme="minorHAnsi"/>
        </w:rPr>
        <w:t>has been</w:t>
      </w:r>
      <w:r>
        <w:rPr>
          <w:rFonts w:asciiTheme="minorHAnsi" w:hAnsiTheme="minorHAnsi"/>
        </w:rPr>
        <w:t xml:space="preserve"> </w:t>
      </w:r>
      <w:r w:rsidR="00196427">
        <w:rPr>
          <w:rFonts w:asciiTheme="minorHAnsi" w:hAnsiTheme="minorHAnsi"/>
        </w:rPr>
        <w:t>considered by both the DFC and the Bishop</w:t>
      </w:r>
      <w:r w:rsidR="003818D2">
        <w:rPr>
          <w:rFonts w:asciiTheme="minorHAnsi" w:hAnsiTheme="minorHAnsi"/>
        </w:rPr>
        <w:t>’</w:t>
      </w:r>
      <w:r w:rsidR="00196427">
        <w:rPr>
          <w:rFonts w:asciiTheme="minorHAnsi" w:hAnsiTheme="minorHAnsi"/>
        </w:rPr>
        <w:t xml:space="preserve">s Council, with the need to ensure that they make a fair contribution </w:t>
      </w:r>
      <w:r w:rsidR="00A83724">
        <w:rPr>
          <w:rFonts w:asciiTheme="minorHAnsi" w:hAnsiTheme="minorHAnsi"/>
        </w:rPr>
        <w:t xml:space="preserve">to the life and work of the Diocese </w:t>
      </w:r>
      <w:r w:rsidR="00196427">
        <w:rPr>
          <w:rFonts w:asciiTheme="minorHAnsi" w:hAnsiTheme="minorHAnsi"/>
        </w:rPr>
        <w:t xml:space="preserve">as soon as possible being balanced against the importance of ensuring that new initiatives </w:t>
      </w:r>
      <w:r w:rsidR="00A83724">
        <w:rPr>
          <w:rFonts w:asciiTheme="minorHAnsi" w:hAnsiTheme="minorHAnsi"/>
        </w:rPr>
        <w:t>are</w:t>
      </w:r>
      <w:r w:rsidR="00196427">
        <w:rPr>
          <w:rFonts w:asciiTheme="minorHAnsi" w:hAnsiTheme="minorHAnsi"/>
        </w:rPr>
        <w:t xml:space="preserve"> not squashed in their early stages by</w:t>
      </w:r>
      <w:r w:rsidR="00A83724">
        <w:rPr>
          <w:rFonts w:asciiTheme="minorHAnsi" w:hAnsiTheme="minorHAnsi"/>
        </w:rPr>
        <w:t xml:space="preserve"> undue</w:t>
      </w:r>
      <w:r w:rsidR="00196427">
        <w:rPr>
          <w:rFonts w:asciiTheme="minorHAnsi" w:hAnsiTheme="minorHAnsi"/>
        </w:rPr>
        <w:t xml:space="preserve"> financial </w:t>
      </w:r>
      <w:r w:rsidR="00196427" w:rsidRPr="00196427">
        <w:rPr>
          <w:rFonts w:asciiTheme="minorHAnsi" w:hAnsiTheme="minorHAnsi"/>
        </w:rPr>
        <w:t>pressures.</w:t>
      </w:r>
      <w:r w:rsidR="00A83724">
        <w:rPr>
          <w:rFonts w:asciiTheme="minorHAnsi" w:hAnsiTheme="minorHAnsi"/>
        </w:rPr>
        <w:t xml:space="preserve"> The importance of recognizing the sudden reduction in the AWA of the successful planting church was also raised and how best this should be incorporated into the parish share calculations.</w:t>
      </w:r>
    </w:p>
    <w:p w14:paraId="030F842E" w14:textId="28A5A320" w:rsidR="00196427" w:rsidRDefault="00196427" w:rsidP="00196427">
      <w:pPr>
        <w:rPr>
          <w:rFonts w:ascii="Calibri" w:hAnsi="Calibri"/>
        </w:rPr>
      </w:pPr>
      <w:r w:rsidRPr="00196427">
        <w:rPr>
          <w:rFonts w:asciiTheme="minorHAnsi" w:hAnsiTheme="minorHAnsi"/>
        </w:rPr>
        <w:t>After much discussion</w:t>
      </w:r>
      <w:r>
        <w:rPr>
          <w:rFonts w:asciiTheme="minorHAnsi" w:hAnsiTheme="minorHAnsi"/>
        </w:rPr>
        <w:t xml:space="preserve"> it was agreed unanimously that there would be a</w:t>
      </w:r>
      <w:r w:rsidRPr="00196427">
        <w:rPr>
          <w:rFonts w:ascii="Calibri" w:hAnsi="Calibri"/>
        </w:rPr>
        <w:t xml:space="preserve"> three year grace period for Parish Share for </w:t>
      </w:r>
      <w:r w:rsidR="003818D2">
        <w:rPr>
          <w:rFonts w:ascii="Calibri" w:hAnsi="Calibri"/>
        </w:rPr>
        <w:t>church plants and Fresh Expressions (</w:t>
      </w:r>
      <w:r w:rsidRPr="00196427">
        <w:rPr>
          <w:rFonts w:ascii="Calibri" w:hAnsi="Calibri"/>
        </w:rPr>
        <w:t>FX</w:t>
      </w:r>
      <w:r w:rsidR="003818D2">
        <w:rPr>
          <w:rFonts w:ascii="Calibri" w:hAnsi="Calibri"/>
        </w:rPr>
        <w:t>)</w:t>
      </w:r>
      <w:r w:rsidRPr="00196427">
        <w:rPr>
          <w:rFonts w:ascii="Calibri" w:hAnsi="Calibri"/>
        </w:rPr>
        <w:t xml:space="preserve"> followed by the introduction of parish share payments using the number of commissioned personnel sent to the church plant as the effective initial 10 year rolling average adding in the actual AWA figures for each subsequent year.</w:t>
      </w:r>
    </w:p>
    <w:p w14:paraId="054E9C00" w14:textId="039CCA74" w:rsidR="00151A9D" w:rsidRDefault="00A83724" w:rsidP="003249FF">
      <w:pPr>
        <w:rPr>
          <w:rFonts w:ascii="Calibri" w:hAnsi="Calibri"/>
        </w:rPr>
      </w:pPr>
      <w:r>
        <w:rPr>
          <w:rFonts w:ascii="Calibri" w:hAnsi="Calibri"/>
        </w:rPr>
        <w:t>Furthermore t</w:t>
      </w:r>
      <w:r w:rsidR="00196427" w:rsidRPr="00196427">
        <w:rPr>
          <w:rFonts w:ascii="Calibri" w:hAnsi="Calibri"/>
        </w:rPr>
        <w:t>he donor church sending</w:t>
      </w:r>
      <w:r>
        <w:rPr>
          <w:rFonts w:ascii="Calibri" w:hAnsi="Calibri"/>
        </w:rPr>
        <w:t xml:space="preserve"> out </w:t>
      </w:r>
      <w:r w:rsidR="00196427" w:rsidRPr="00196427">
        <w:rPr>
          <w:rFonts w:ascii="Calibri" w:hAnsi="Calibri"/>
        </w:rPr>
        <w:t xml:space="preserve">commissioned personnel </w:t>
      </w:r>
      <w:r>
        <w:rPr>
          <w:rFonts w:ascii="Calibri" w:hAnsi="Calibri"/>
        </w:rPr>
        <w:t>will</w:t>
      </w:r>
      <w:r w:rsidR="00196427" w:rsidRPr="00196427">
        <w:rPr>
          <w:rFonts w:ascii="Calibri" w:hAnsi="Calibri"/>
        </w:rPr>
        <w:t xml:space="preserve"> have their AWA reduced </w:t>
      </w:r>
      <w:r>
        <w:rPr>
          <w:rFonts w:ascii="Calibri" w:hAnsi="Calibri"/>
        </w:rPr>
        <w:t xml:space="preserve">retrospectively for the full 10 years </w:t>
      </w:r>
      <w:r w:rsidR="00196427" w:rsidRPr="00196427">
        <w:rPr>
          <w:rFonts w:ascii="Calibri" w:hAnsi="Calibri"/>
        </w:rPr>
        <w:t>by the number of commissioned personnel sent</w:t>
      </w:r>
      <w:r>
        <w:rPr>
          <w:rFonts w:ascii="Calibri" w:hAnsi="Calibri"/>
        </w:rPr>
        <w:t xml:space="preserve"> out from their worshipping community.</w:t>
      </w:r>
      <w:r w:rsidR="00C35C5D">
        <w:rPr>
          <w:rFonts w:ascii="Calibri" w:hAnsi="Calibri"/>
        </w:rPr>
        <w:t xml:space="preserve"> This builds on the principle that our Parish Share system is constructed to promote and subsidise growth rather than manage decline.</w:t>
      </w:r>
    </w:p>
    <w:p w14:paraId="69D96C7C" w14:textId="77777777" w:rsidR="00D3393F" w:rsidRPr="00196427" w:rsidRDefault="00D3393F" w:rsidP="003249FF">
      <w:pPr>
        <w:rPr>
          <w:rFonts w:asciiTheme="minorHAnsi" w:hAnsiTheme="minorHAnsi"/>
        </w:rPr>
      </w:pPr>
    </w:p>
    <w:p w14:paraId="5523AFA5" w14:textId="77777777" w:rsidR="00151A9D" w:rsidRPr="00336B76" w:rsidRDefault="00336B76" w:rsidP="003249FF">
      <w:pPr>
        <w:rPr>
          <w:rFonts w:ascii="Calibri" w:eastAsia="Times New Roman" w:hAnsi="Calibri"/>
          <w:bCs/>
          <w:iCs/>
          <w:color w:val="8B2332"/>
          <w:sz w:val="28"/>
          <w:szCs w:val="28"/>
        </w:rPr>
      </w:pPr>
      <w:r w:rsidRPr="00336B76">
        <w:rPr>
          <w:rFonts w:ascii="Calibri" w:eastAsia="Times New Roman" w:hAnsi="Calibri"/>
          <w:bCs/>
          <w:iCs/>
          <w:color w:val="8B2332"/>
          <w:sz w:val="28"/>
          <w:szCs w:val="28"/>
        </w:rPr>
        <w:t>Review of 2018</w:t>
      </w:r>
    </w:p>
    <w:p w14:paraId="55161FF6" w14:textId="77777777" w:rsidR="00336B76" w:rsidRDefault="001B6909" w:rsidP="003249FF">
      <w:pPr>
        <w:rPr>
          <w:rFonts w:asciiTheme="minorHAnsi" w:hAnsiTheme="minorHAnsi"/>
        </w:rPr>
      </w:pPr>
      <w:r>
        <w:rPr>
          <w:rFonts w:asciiTheme="minorHAnsi" w:hAnsiTheme="minorHAnsi"/>
        </w:rPr>
        <w:t>The third quarter management accounts forecast a year end position with a variance of less than 1% of the total gross costs of £7.8m in the 2018 budget. Whilst this is indicative of the close control of the Diocesan finances</w:t>
      </w:r>
      <w:r w:rsidR="009C7FA4">
        <w:rPr>
          <w:rFonts w:asciiTheme="minorHAnsi" w:hAnsiTheme="minorHAnsi"/>
        </w:rPr>
        <w:t>,</w:t>
      </w:r>
      <w:r>
        <w:rPr>
          <w:rFonts w:asciiTheme="minorHAnsi" w:hAnsiTheme="minorHAnsi"/>
        </w:rPr>
        <w:t xml:space="preserve"> it does not tell the whole story as it has been a busy year.</w:t>
      </w:r>
    </w:p>
    <w:p w14:paraId="4CD50419" w14:textId="77777777" w:rsidR="00603E6B" w:rsidRDefault="00254766" w:rsidP="003249FF">
      <w:pPr>
        <w:rPr>
          <w:rFonts w:ascii="Calibri" w:hAnsi="Calibri"/>
        </w:rPr>
      </w:pPr>
      <w:r>
        <w:rPr>
          <w:rFonts w:asciiTheme="minorHAnsi" w:hAnsiTheme="minorHAnsi"/>
        </w:rPr>
        <w:t xml:space="preserve">Reserves continue to be spent, in line with the budget, to support the planned work on the parsonages and the increased number of curates, whilst the strategic </w:t>
      </w:r>
      <w:r>
        <w:rPr>
          <w:rFonts w:ascii="Calibri" w:hAnsi="Calibri"/>
        </w:rPr>
        <w:t>grant from the Church Commissioners has continued to fund new projects.</w:t>
      </w:r>
      <w:r w:rsidR="00204DED">
        <w:rPr>
          <w:rFonts w:ascii="Calibri" w:hAnsi="Calibri"/>
        </w:rPr>
        <w:t xml:space="preserve"> Although the spending of reserves needs to be carefully monitored it should not necessarily be seen as a bad thing and must be viewed in the context of the long term strategy for mission and growth.</w:t>
      </w:r>
      <w:r w:rsidR="005B1839">
        <w:rPr>
          <w:rFonts w:ascii="Calibri" w:hAnsi="Calibri"/>
        </w:rPr>
        <w:t xml:space="preserve"> Indeed the funding gap in the Archbishops’ Council budget is planned to be met from reserves in 2019.</w:t>
      </w:r>
    </w:p>
    <w:p w14:paraId="230B03DB" w14:textId="224F2A3A" w:rsidR="00204DED" w:rsidRDefault="00204DED" w:rsidP="003249FF">
      <w:pPr>
        <w:rPr>
          <w:rFonts w:ascii="Calibri" w:hAnsi="Calibri"/>
        </w:rPr>
      </w:pPr>
      <w:r>
        <w:rPr>
          <w:rFonts w:ascii="Calibri" w:hAnsi="Calibri"/>
        </w:rPr>
        <w:t>The glebe land at Wickham was finally sold in</w:t>
      </w:r>
      <w:r w:rsidR="00303E74">
        <w:rPr>
          <w:rFonts w:ascii="Calibri" w:hAnsi="Calibri"/>
        </w:rPr>
        <w:t xml:space="preserve"> March 2018 for a little over three million pounds. Under the terms of the Pastoral Measure such income from the sale of glebe must be credited to the Diocesan Pastoral Account where its use </w:t>
      </w:r>
      <w:r w:rsidR="00D3393F">
        <w:rPr>
          <w:rFonts w:ascii="Calibri" w:hAnsi="Calibri"/>
        </w:rPr>
        <w:t xml:space="preserve">is primarily </w:t>
      </w:r>
      <w:r w:rsidR="005A0469">
        <w:rPr>
          <w:rFonts w:ascii="Calibri" w:hAnsi="Calibri"/>
        </w:rPr>
        <w:t xml:space="preserve">to produce income for stipends but can also </w:t>
      </w:r>
      <w:r w:rsidR="00D3393F">
        <w:rPr>
          <w:rFonts w:ascii="Calibri" w:hAnsi="Calibri"/>
        </w:rPr>
        <w:t xml:space="preserve"> be directed towards the acquisition and maintenance of parsonages and glebe properties</w:t>
      </w:r>
      <w:r w:rsidR="005A0469">
        <w:rPr>
          <w:rFonts w:ascii="Calibri" w:hAnsi="Calibri"/>
        </w:rPr>
        <w:t>.</w:t>
      </w:r>
      <w:r w:rsidR="00D3393F">
        <w:rPr>
          <w:rFonts w:ascii="Calibri" w:hAnsi="Calibri"/>
        </w:rPr>
        <w:t xml:space="preserve"> </w:t>
      </w:r>
      <w:r w:rsidR="005A0469">
        <w:rPr>
          <w:rFonts w:ascii="Calibri" w:hAnsi="Calibri"/>
        </w:rPr>
        <w:t>It cannot be used</w:t>
      </w:r>
      <w:r w:rsidR="00D3393F">
        <w:rPr>
          <w:rFonts w:ascii="Calibri" w:hAnsi="Calibri"/>
        </w:rPr>
        <w:t xml:space="preserve"> for salaries or wages of persons in the regular employment of the </w:t>
      </w:r>
      <w:r w:rsidR="005A0469">
        <w:rPr>
          <w:rFonts w:ascii="Calibri" w:hAnsi="Calibri"/>
        </w:rPr>
        <w:t>Diocese</w:t>
      </w:r>
      <w:r w:rsidR="00D3393F">
        <w:rPr>
          <w:rFonts w:ascii="Calibri" w:hAnsi="Calibri"/>
        </w:rPr>
        <w:t>.</w:t>
      </w:r>
    </w:p>
    <w:p w14:paraId="4EEEF3AD" w14:textId="77777777" w:rsidR="000759F5" w:rsidRDefault="000759F5" w:rsidP="003249FF">
      <w:pPr>
        <w:rPr>
          <w:rFonts w:ascii="Calibri" w:hAnsi="Calibri"/>
        </w:rPr>
      </w:pPr>
    </w:p>
    <w:p w14:paraId="400703B9" w14:textId="77777777" w:rsidR="00D3393F" w:rsidRPr="008A7524" w:rsidRDefault="00D3393F" w:rsidP="00D3393F">
      <w:pPr>
        <w:pStyle w:val="Heading2"/>
        <w:numPr>
          <w:ilvl w:val="1"/>
          <w:numId w:val="39"/>
        </w:numPr>
        <w:suppressAutoHyphens/>
        <w:autoSpaceDE/>
        <w:autoSpaceDN/>
        <w:adjustRightInd/>
        <w:spacing w:line="240" w:lineRule="auto"/>
        <w:ind w:left="0" w:firstLine="0"/>
        <w:textAlignment w:val="auto"/>
        <w:rPr>
          <w:rFonts w:asciiTheme="minorHAnsi" w:hAnsiTheme="minorHAnsi"/>
        </w:rPr>
      </w:pPr>
      <w:r w:rsidRPr="008A7524">
        <w:rPr>
          <w:rFonts w:asciiTheme="minorHAnsi" w:hAnsiTheme="minorHAnsi"/>
        </w:rPr>
        <w:lastRenderedPageBreak/>
        <w:t>Key Risks</w:t>
      </w:r>
    </w:p>
    <w:p w14:paraId="68269BCF" w14:textId="77777777" w:rsidR="00D3393F" w:rsidRPr="00D3393F" w:rsidRDefault="00D3393F" w:rsidP="00D3393F">
      <w:pPr>
        <w:suppressAutoHyphens/>
        <w:spacing w:after="0"/>
        <w:rPr>
          <w:rFonts w:ascii="Calibri" w:hAnsi="Calibri"/>
        </w:rPr>
      </w:pPr>
    </w:p>
    <w:p w14:paraId="2C34389B" w14:textId="77777777" w:rsidR="00D3393F" w:rsidRPr="00D3393F" w:rsidRDefault="00D3393F" w:rsidP="00D3393F">
      <w:pPr>
        <w:suppressAutoHyphens/>
        <w:spacing w:after="0"/>
        <w:rPr>
          <w:rFonts w:ascii="Calibri" w:hAnsi="Calibri"/>
        </w:rPr>
      </w:pPr>
      <w:r w:rsidRPr="00D3393F">
        <w:rPr>
          <w:rFonts w:ascii="Calibri" w:hAnsi="Calibri"/>
        </w:rPr>
        <w:t xml:space="preserve">The </w:t>
      </w:r>
      <w:r>
        <w:rPr>
          <w:rFonts w:ascii="Calibri" w:hAnsi="Calibri"/>
        </w:rPr>
        <w:t>key risks identified at the time of the 2018 budget preparation remain to a large extent unchanged.</w:t>
      </w:r>
    </w:p>
    <w:p w14:paraId="6A6C5511" w14:textId="77777777" w:rsidR="00D3393F" w:rsidRDefault="00D3393F" w:rsidP="00D3393F">
      <w:pPr>
        <w:pStyle w:val="ListParagraph"/>
        <w:numPr>
          <w:ilvl w:val="0"/>
          <w:numId w:val="41"/>
        </w:numPr>
        <w:tabs>
          <w:tab w:val="clear" w:pos="-714"/>
          <w:tab w:val="num" w:pos="-1071"/>
        </w:tabs>
        <w:suppressAutoHyphens/>
        <w:spacing w:after="0"/>
        <w:ind w:left="357" w:hanging="357"/>
        <w:contextualSpacing w:val="0"/>
        <w:rPr>
          <w:rFonts w:ascii="Calibri" w:hAnsi="Calibri"/>
        </w:rPr>
      </w:pPr>
      <w:r>
        <w:rPr>
          <w:rFonts w:ascii="Calibri" w:hAnsi="Calibri"/>
          <w:b/>
        </w:rPr>
        <w:t>Development of education team external income and multi-academy trusts</w:t>
      </w:r>
      <w:r>
        <w:rPr>
          <w:rFonts w:ascii="Calibri" w:hAnsi="Calibri"/>
        </w:rPr>
        <w:t>.</w:t>
      </w:r>
    </w:p>
    <w:p w14:paraId="5908674F" w14:textId="77777777" w:rsidR="00D3393F" w:rsidRPr="003249FF" w:rsidRDefault="000759F5" w:rsidP="00D3393F">
      <w:pPr>
        <w:spacing w:after="0"/>
        <w:ind w:left="357"/>
        <w:rPr>
          <w:rFonts w:ascii="Calibri" w:hAnsi="Calibri"/>
        </w:rPr>
      </w:pPr>
      <w:r>
        <w:rPr>
          <w:rFonts w:ascii="Calibri" w:hAnsi="Calibri"/>
        </w:rPr>
        <w:t>The</w:t>
      </w:r>
      <w:r w:rsidR="00D3393F" w:rsidRPr="003249FF">
        <w:rPr>
          <w:rFonts w:ascii="Calibri" w:hAnsi="Calibri"/>
        </w:rPr>
        <w:t xml:space="preserve"> education team</w:t>
      </w:r>
      <w:r>
        <w:rPr>
          <w:rFonts w:ascii="Calibri" w:hAnsi="Calibri"/>
        </w:rPr>
        <w:t>, including support for the</w:t>
      </w:r>
      <w:r w:rsidR="00D3393F" w:rsidRPr="003249FF">
        <w:rPr>
          <w:rFonts w:ascii="Calibri" w:hAnsi="Calibri"/>
        </w:rPr>
        <w:t xml:space="preserve"> multi-academy trust</w:t>
      </w:r>
      <w:r>
        <w:rPr>
          <w:rFonts w:ascii="Calibri" w:hAnsi="Calibri"/>
        </w:rPr>
        <w:t>, has continued to develop in respon</w:t>
      </w:r>
      <w:r w:rsidR="00D3393F" w:rsidRPr="003249FF">
        <w:rPr>
          <w:rFonts w:ascii="Calibri" w:hAnsi="Calibri"/>
        </w:rPr>
        <w:t>s</w:t>
      </w:r>
      <w:r>
        <w:rPr>
          <w:rFonts w:ascii="Calibri" w:hAnsi="Calibri"/>
        </w:rPr>
        <w:t>e</w:t>
      </w:r>
      <w:r w:rsidR="00D3393F" w:rsidRPr="003249FF">
        <w:rPr>
          <w:rFonts w:ascii="Calibri" w:hAnsi="Calibri"/>
        </w:rPr>
        <w:t xml:space="preserve"> to the rap</w:t>
      </w:r>
      <w:r>
        <w:rPr>
          <w:rFonts w:ascii="Calibri" w:hAnsi="Calibri"/>
        </w:rPr>
        <w:t>id pace of change in education.</w:t>
      </w:r>
      <w:r w:rsidR="00D3393F" w:rsidRPr="003249FF">
        <w:rPr>
          <w:rFonts w:ascii="Calibri" w:hAnsi="Calibri"/>
        </w:rPr>
        <w:t xml:space="preserve"> </w:t>
      </w:r>
      <w:r>
        <w:rPr>
          <w:rFonts w:ascii="Calibri" w:hAnsi="Calibri"/>
        </w:rPr>
        <w:t>The anticipated increase in service incom</w:t>
      </w:r>
      <w:r w:rsidR="00D3393F" w:rsidRPr="003249FF">
        <w:rPr>
          <w:rFonts w:ascii="Calibri" w:hAnsi="Calibri"/>
        </w:rPr>
        <w:t xml:space="preserve">e </w:t>
      </w:r>
      <w:r>
        <w:rPr>
          <w:rFonts w:ascii="Calibri" w:hAnsi="Calibri"/>
        </w:rPr>
        <w:t xml:space="preserve">has yet to materialise </w:t>
      </w:r>
      <w:r w:rsidR="00D3393F" w:rsidRPr="003249FF">
        <w:rPr>
          <w:rFonts w:ascii="Calibri" w:hAnsi="Calibri"/>
        </w:rPr>
        <w:t>and</w:t>
      </w:r>
      <w:r>
        <w:rPr>
          <w:rFonts w:ascii="Calibri" w:hAnsi="Calibri"/>
        </w:rPr>
        <w:t xml:space="preserve"> the investment of </w:t>
      </w:r>
      <w:r w:rsidR="00D3393F" w:rsidRPr="003249FF">
        <w:rPr>
          <w:rFonts w:ascii="Calibri" w:hAnsi="Calibri"/>
        </w:rPr>
        <w:t xml:space="preserve"> historic education funds </w:t>
      </w:r>
      <w:r>
        <w:rPr>
          <w:rFonts w:ascii="Calibri" w:hAnsi="Calibri"/>
        </w:rPr>
        <w:t>continue to be actively managed to minimise the im</w:t>
      </w:r>
      <w:r w:rsidR="00D3393F" w:rsidRPr="003249FF">
        <w:rPr>
          <w:rFonts w:ascii="Calibri" w:hAnsi="Calibri"/>
        </w:rPr>
        <w:t>pact on  parish share.</w:t>
      </w:r>
    </w:p>
    <w:p w14:paraId="32701E63" w14:textId="77777777" w:rsidR="00D3393F" w:rsidRDefault="00D3393F" w:rsidP="00D3393F">
      <w:pPr>
        <w:pStyle w:val="ListParagraph"/>
        <w:numPr>
          <w:ilvl w:val="0"/>
          <w:numId w:val="41"/>
        </w:numPr>
        <w:tabs>
          <w:tab w:val="clear" w:pos="-714"/>
          <w:tab w:val="num" w:pos="-1071"/>
        </w:tabs>
        <w:suppressAutoHyphens/>
        <w:spacing w:after="0"/>
        <w:ind w:left="357" w:hanging="357"/>
        <w:contextualSpacing w:val="0"/>
        <w:rPr>
          <w:rFonts w:ascii="Calibri" w:hAnsi="Calibri"/>
          <w:b/>
        </w:rPr>
      </w:pPr>
      <w:r>
        <w:rPr>
          <w:rFonts w:ascii="Calibri" w:hAnsi="Calibri"/>
          <w:b/>
        </w:rPr>
        <w:t>Economic uncertainty</w:t>
      </w:r>
    </w:p>
    <w:p w14:paraId="124A89E5" w14:textId="5213B382" w:rsidR="00D3393F" w:rsidRPr="003249FF" w:rsidRDefault="000759F5" w:rsidP="00D3393F">
      <w:pPr>
        <w:spacing w:after="0"/>
        <w:ind w:left="357"/>
        <w:rPr>
          <w:rFonts w:ascii="Calibri" w:hAnsi="Calibri"/>
        </w:rPr>
      </w:pPr>
      <w:r>
        <w:rPr>
          <w:rFonts w:ascii="Calibri" w:hAnsi="Calibri"/>
        </w:rPr>
        <w:t>With the outcome of the Brexit vote still undecided the ec</w:t>
      </w:r>
      <w:r w:rsidR="001F55FE">
        <w:rPr>
          <w:rFonts w:ascii="Calibri" w:hAnsi="Calibri"/>
        </w:rPr>
        <w:t>onomic future remains uncertain and h</w:t>
      </w:r>
      <w:r w:rsidR="00D3393F" w:rsidRPr="003249FF">
        <w:rPr>
          <w:rFonts w:ascii="Calibri" w:hAnsi="Calibri"/>
        </w:rPr>
        <w:t xml:space="preserve">ow inflation, wages and  economic prosperity within our </w:t>
      </w:r>
      <w:r w:rsidR="005A0469">
        <w:rPr>
          <w:rFonts w:ascii="Calibri" w:hAnsi="Calibri"/>
        </w:rPr>
        <w:t>D</w:t>
      </w:r>
      <w:r w:rsidR="00D3393F" w:rsidRPr="003249FF">
        <w:rPr>
          <w:rFonts w:ascii="Calibri" w:hAnsi="Calibri"/>
        </w:rPr>
        <w:t>iocese will develop is difficult to predict.</w:t>
      </w:r>
    </w:p>
    <w:p w14:paraId="5098C612" w14:textId="77777777" w:rsidR="00D3393F" w:rsidRDefault="00D3393F" w:rsidP="00D3393F">
      <w:pPr>
        <w:pStyle w:val="ListParagraph"/>
        <w:numPr>
          <w:ilvl w:val="0"/>
          <w:numId w:val="43"/>
        </w:numPr>
        <w:suppressAutoHyphens/>
        <w:spacing w:after="0"/>
        <w:ind w:left="368"/>
        <w:contextualSpacing w:val="0"/>
        <w:rPr>
          <w:rFonts w:ascii="Calibri" w:hAnsi="Calibri"/>
        </w:rPr>
      </w:pPr>
      <w:r>
        <w:rPr>
          <w:rFonts w:ascii="Calibri" w:hAnsi="Calibri"/>
          <w:b/>
        </w:rPr>
        <w:t>Parish share contributions</w:t>
      </w:r>
    </w:p>
    <w:p w14:paraId="0FF37D01" w14:textId="77777777" w:rsidR="00D3393F" w:rsidRPr="003249FF" w:rsidRDefault="00D3393F" w:rsidP="00D3393F">
      <w:pPr>
        <w:spacing w:after="0"/>
        <w:ind w:left="363"/>
        <w:rPr>
          <w:rFonts w:ascii="Calibri" w:hAnsi="Calibri"/>
        </w:rPr>
      </w:pPr>
      <w:r w:rsidRPr="003249FF">
        <w:rPr>
          <w:rFonts w:ascii="Calibri" w:hAnsi="Calibri"/>
        </w:rPr>
        <w:t>We continue to plan for a high rate of parish share receipts at 98% of our budget.  As the largest part of our income, any fluctuation in that will impact on our results.</w:t>
      </w:r>
    </w:p>
    <w:p w14:paraId="0B0F4863" w14:textId="77777777" w:rsidR="00D3393F" w:rsidRDefault="000759F5" w:rsidP="00D3393F">
      <w:pPr>
        <w:pStyle w:val="ListParagraph"/>
        <w:numPr>
          <w:ilvl w:val="0"/>
          <w:numId w:val="43"/>
        </w:numPr>
        <w:suppressAutoHyphens/>
        <w:spacing w:after="0"/>
        <w:ind w:left="368"/>
        <w:contextualSpacing w:val="0"/>
        <w:rPr>
          <w:rFonts w:ascii="Calibri" w:hAnsi="Calibri"/>
          <w:b/>
        </w:rPr>
      </w:pPr>
      <w:r>
        <w:rPr>
          <w:rFonts w:ascii="Calibri" w:hAnsi="Calibri"/>
          <w:b/>
        </w:rPr>
        <w:t>Strategic Development Funding</w:t>
      </w:r>
    </w:p>
    <w:p w14:paraId="6458BA35" w14:textId="77777777" w:rsidR="000759F5" w:rsidRPr="000759F5" w:rsidRDefault="000759F5" w:rsidP="000759F5">
      <w:pPr>
        <w:tabs>
          <w:tab w:val="num" w:pos="-1071"/>
        </w:tabs>
        <w:suppressAutoHyphens/>
        <w:spacing w:after="0"/>
        <w:ind w:left="357"/>
        <w:rPr>
          <w:rFonts w:ascii="Calibri" w:hAnsi="Calibri"/>
          <w:b/>
        </w:rPr>
      </w:pPr>
      <w:r>
        <w:rPr>
          <w:rFonts w:ascii="Calibri" w:hAnsi="Calibri"/>
        </w:rPr>
        <w:t xml:space="preserve">Although the  outcome of the second bid is still uncertain, </w:t>
      </w:r>
      <w:r w:rsidR="001F55FE">
        <w:rPr>
          <w:rFonts w:ascii="Calibri" w:hAnsi="Calibri"/>
        </w:rPr>
        <w:t>commitments and costs have already been incurred on the basis of the first bid and SDF funded posts will need to be funded by the Diocese in future years.</w:t>
      </w:r>
      <w:r>
        <w:rPr>
          <w:rFonts w:ascii="Calibri" w:hAnsi="Calibri"/>
        </w:rPr>
        <w:t xml:space="preserve"> </w:t>
      </w:r>
    </w:p>
    <w:p w14:paraId="3AEC5E98" w14:textId="77777777" w:rsidR="00D3393F" w:rsidRDefault="00D3393F" w:rsidP="00D3393F">
      <w:pPr>
        <w:pStyle w:val="ListParagraph"/>
        <w:numPr>
          <w:ilvl w:val="0"/>
          <w:numId w:val="41"/>
        </w:numPr>
        <w:tabs>
          <w:tab w:val="clear" w:pos="-714"/>
          <w:tab w:val="num" w:pos="-1071"/>
        </w:tabs>
        <w:suppressAutoHyphens/>
        <w:spacing w:after="0"/>
        <w:ind w:left="357" w:hanging="357"/>
        <w:contextualSpacing w:val="0"/>
        <w:rPr>
          <w:rFonts w:ascii="Calibri" w:hAnsi="Calibri"/>
          <w:b/>
        </w:rPr>
      </w:pPr>
      <w:r>
        <w:rPr>
          <w:rFonts w:ascii="Calibri" w:hAnsi="Calibri"/>
          <w:b/>
        </w:rPr>
        <w:t>National Ordinand and training costs</w:t>
      </w:r>
    </w:p>
    <w:p w14:paraId="18F5B0CF" w14:textId="77777777" w:rsidR="001F55FE" w:rsidRDefault="001F55FE" w:rsidP="00D3393F">
      <w:pPr>
        <w:pStyle w:val="ListParagraph"/>
        <w:suppressAutoHyphens/>
        <w:spacing w:after="0"/>
        <w:ind w:left="363"/>
        <w:contextualSpacing w:val="0"/>
        <w:rPr>
          <w:rFonts w:ascii="Calibri" w:hAnsi="Calibri"/>
        </w:rPr>
      </w:pPr>
      <w:r>
        <w:rPr>
          <w:rFonts w:ascii="Calibri" w:hAnsi="Calibri"/>
        </w:rPr>
        <w:t xml:space="preserve">This has been the first year of the new funding arrangements and with numbers falling short of budget aspirations there has been a cost to bear. The uncertainty of both </w:t>
      </w:r>
      <w:r w:rsidR="00D3393F" w:rsidRPr="003249FF">
        <w:rPr>
          <w:rFonts w:ascii="Calibri" w:hAnsi="Calibri"/>
        </w:rPr>
        <w:t xml:space="preserve">ordinand numbers </w:t>
      </w:r>
      <w:r>
        <w:rPr>
          <w:rFonts w:ascii="Calibri" w:hAnsi="Calibri"/>
        </w:rPr>
        <w:t>and the Church Commissioners’ funding policies mean that this continues to be an area of risk.</w:t>
      </w:r>
    </w:p>
    <w:p w14:paraId="248CA288" w14:textId="77777777" w:rsidR="001F55FE" w:rsidRDefault="001F55FE" w:rsidP="00D3393F">
      <w:pPr>
        <w:pStyle w:val="ListParagraph"/>
        <w:suppressAutoHyphens/>
        <w:spacing w:after="0"/>
        <w:ind w:left="363"/>
        <w:contextualSpacing w:val="0"/>
        <w:rPr>
          <w:rFonts w:ascii="Calibri" w:hAnsi="Calibri"/>
        </w:rPr>
      </w:pPr>
    </w:p>
    <w:p w14:paraId="42441120" w14:textId="77777777" w:rsidR="001F55FE" w:rsidRDefault="001F55FE" w:rsidP="00D3393F">
      <w:pPr>
        <w:pStyle w:val="ListParagraph"/>
        <w:suppressAutoHyphens/>
        <w:spacing w:after="0"/>
        <w:ind w:left="363"/>
        <w:contextualSpacing w:val="0"/>
        <w:rPr>
          <w:rFonts w:ascii="Calibri" w:hAnsi="Calibri"/>
        </w:rPr>
      </w:pPr>
    </w:p>
    <w:p w14:paraId="4851CAAC" w14:textId="77777777" w:rsidR="001F55FE" w:rsidRPr="000021FA" w:rsidRDefault="000021FA" w:rsidP="000021FA">
      <w:pPr>
        <w:pStyle w:val="Heading2"/>
        <w:numPr>
          <w:ilvl w:val="1"/>
          <w:numId w:val="39"/>
        </w:numPr>
        <w:suppressAutoHyphens/>
        <w:autoSpaceDE/>
        <w:autoSpaceDN/>
        <w:adjustRightInd/>
        <w:spacing w:line="240" w:lineRule="auto"/>
        <w:ind w:left="0" w:firstLine="0"/>
        <w:textAlignment w:val="auto"/>
        <w:rPr>
          <w:rFonts w:asciiTheme="minorHAnsi" w:hAnsiTheme="minorHAnsi"/>
        </w:rPr>
      </w:pPr>
      <w:r w:rsidRPr="000021FA">
        <w:rPr>
          <w:rFonts w:asciiTheme="minorHAnsi" w:hAnsiTheme="minorHAnsi"/>
        </w:rPr>
        <w:t>The 2019 Budget</w:t>
      </w:r>
    </w:p>
    <w:p w14:paraId="04D8FE5B" w14:textId="77777777" w:rsidR="000021FA" w:rsidRDefault="000021FA" w:rsidP="00D3393F">
      <w:pPr>
        <w:pStyle w:val="ListParagraph"/>
        <w:suppressAutoHyphens/>
        <w:spacing w:after="0"/>
        <w:ind w:left="363"/>
        <w:contextualSpacing w:val="0"/>
        <w:rPr>
          <w:rFonts w:ascii="Calibri" w:hAnsi="Calibri"/>
        </w:rPr>
      </w:pPr>
    </w:p>
    <w:p w14:paraId="13A2A2AE" w14:textId="77777777" w:rsidR="004608DD" w:rsidRDefault="00FB6CFA" w:rsidP="00776D27">
      <w:pPr>
        <w:rPr>
          <w:rFonts w:ascii="Calibri" w:hAnsi="Calibri"/>
        </w:rPr>
      </w:pPr>
      <w:r>
        <w:rPr>
          <w:rFonts w:ascii="Calibri" w:hAnsi="Calibri"/>
        </w:rPr>
        <w:t>In the current context a more detailed and reliable report on the 2019 budget is not available at this stage</w:t>
      </w:r>
      <w:r w:rsidR="007820BE">
        <w:rPr>
          <w:rFonts w:ascii="Calibri" w:hAnsi="Calibri"/>
        </w:rPr>
        <w:t>. However, a</w:t>
      </w:r>
      <w:r w:rsidRPr="00FB6CFA">
        <w:rPr>
          <w:rFonts w:ascii="Calibri" w:hAnsi="Calibri"/>
        </w:rPr>
        <w:t>lthough</w:t>
      </w:r>
      <w:r>
        <w:rPr>
          <w:rFonts w:ascii="Calibri" w:hAnsi="Calibri"/>
        </w:rPr>
        <w:t xml:space="preserve"> many factors remain uncertain, the information received from the Archbishops’ Council in June regarding their financial planning assumptions supports a request for an increase of 2.3% in the total share being requested to a total of £5,119,475</w:t>
      </w:r>
    </w:p>
    <w:p w14:paraId="6147BAD6" w14:textId="77777777" w:rsidR="007820BE" w:rsidRDefault="007820BE" w:rsidP="00776D27">
      <w:pPr>
        <w:rPr>
          <w:rFonts w:ascii="Calibri" w:hAnsi="Calibri"/>
        </w:rPr>
      </w:pPr>
    </w:p>
    <w:p w14:paraId="17D7847A" w14:textId="77777777" w:rsidR="007820BE" w:rsidRDefault="007820BE" w:rsidP="00776D27">
      <w:pPr>
        <w:rPr>
          <w:rFonts w:ascii="Calibri" w:hAnsi="Calibri"/>
        </w:rPr>
      </w:pPr>
    </w:p>
    <w:p w14:paraId="420202E7" w14:textId="77777777" w:rsidR="007820BE" w:rsidRDefault="007820BE" w:rsidP="007820BE">
      <w:pPr>
        <w:spacing w:after="0"/>
        <w:ind w:left="5760" w:firstLine="720"/>
        <w:rPr>
          <w:rFonts w:ascii="Calibri" w:hAnsi="Calibri"/>
        </w:rPr>
      </w:pPr>
    </w:p>
    <w:p w14:paraId="623635CD" w14:textId="77777777" w:rsidR="007820BE" w:rsidRDefault="007820BE" w:rsidP="007820BE">
      <w:pPr>
        <w:spacing w:after="0"/>
        <w:ind w:left="5760" w:firstLine="720"/>
        <w:rPr>
          <w:rFonts w:ascii="Calibri" w:hAnsi="Calibri"/>
        </w:rPr>
      </w:pPr>
    </w:p>
    <w:p w14:paraId="54BAEA2A" w14:textId="77777777" w:rsidR="007820BE" w:rsidRDefault="007820BE" w:rsidP="007820BE">
      <w:pPr>
        <w:spacing w:after="0"/>
        <w:ind w:left="5760"/>
        <w:jc w:val="right"/>
        <w:rPr>
          <w:rFonts w:ascii="Calibri" w:hAnsi="Calibri"/>
        </w:rPr>
      </w:pPr>
      <w:r>
        <w:rPr>
          <w:rFonts w:ascii="Calibri" w:hAnsi="Calibri"/>
        </w:rPr>
        <w:t>Mary Makin, Acting Finance Director</w:t>
      </w:r>
    </w:p>
    <w:p w14:paraId="21B62E4B" w14:textId="77777777" w:rsidR="007820BE" w:rsidRPr="00FB6CFA" w:rsidRDefault="007820BE" w:rsidP="007820BE">
      <w:pPr>
        <w:ind w:left="7200" w:firstLine="720"/>
        <w:jc w:val="right"/>
        <w:rPr>
          <w:rFonts w:ascii="Calibri" w:hAnsi="Calibri"/>
        </w:rPr>
      </w:pPr>
      <w:r>
        <w:rPr>
          <w:rFonts w:ascii="Calibri" w:hAnsi="Calibri"/>
        </w:rPr>
        <w:t>23 October 2018</w:t>
      </w:r>
    </w:p>
    <w:sectPr w:rsidR="007820BE" w:rsidRPr="00FB6CFA" w:rsidSect="006357FB">
      <w:footerReference w:type="default" r:id="rId8"/>
      <w:pgSz w:w="11900" w:h="16840"/>
      <w:pgMar w:top="1276" w:right="1127" w:bottom="1134" w:left="1134" w:header="0" w:footer="34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CF2F5" w14:textId="77777777" w:rsidR="00D31D64" w:rsidRDefault="00D31D64">
      <w:pPr>
        <w:spacing w:after="0"/>
      </w:pPr>
      <w:r>
        <w:separator/>
      </w:r>
    </w:p>
  </w:endnote>
  <w:endnote w:type="continuationSeparator" w:id="0">
    <w:p w14:paraId="52630912" w14:textId="77777777" w:rsidR="00D31D64" w:rsidRDefault="00D31D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174906"/>
      <w:docPartObj>
        <w:docPartGallery w:val="Page Numbers (Bottom of Page)"/>
        <w:docPartUnique/>
      </w:docPartObj>
    </w:sdtPr>
    <w:sdtEndPr>
      <w:rPr>
        <w:rFonts w:asciiTheme="minorHAnsi" w:hAnsiTheme="minorHAnsi"/>
        <w:color w:val="7F7F7F" w:themeColor="background1" w:themeShade="7F"/>
        <w:spacing w:val="60"/>
        <w:sz w:val="20"/>
        <w:szCs w:val="20"/>
      </w:rPr>
    </w:sdtEndPr>
    <w:sdtContent>
      <w:p w14:paraId="45434D24" w14:textId="77777777" w:rsidR="00D31D64" w:rsidRPr="003475B9" w:rsidRDefault="00D31D64">
        <w:pPr>
          <w:pStyle w:val="Footer"/>
          <w:pBdr>
            <w:top w:val="single" w:sz="4" w:space="1" w:color="D9D9D9" w:themeColor="background1" w:themeShade="D9"/>
          </w:pBdr>
          <w:jc w:val="right"/>
          <w:rPr>
            <w:rFonts w:asciiTheme="minorHAnsi" w:hAnsiTheme="minorHAnsi"/>
            <w:sz w:val="20"/>
            <w:szCs w:val="20"/>
          </w:rPr>
        </w:pPr>
        <w:r w:rsidRPr="003475B9">
          <w:rPr>
            <w:rFonts w:asciiTheme="minorHAnsi" w:hAnsiTheme="minorHAnsi"/>
            <w:sz w:val="20"/>
            <w:szCs w:val="20"/>
          </w:rPr>
          <w:fldChar w:fldCharType="begin"/>
        </w:r>
        <w:r w:rsidRPr="003475B9">
          <w:rPr>
            <w:rFonts w:asciiTheme="minorHAnsi" w:hAnsiTheme="minorHAnsi"/>
            <w:sz w:val="20"/>
            <w:szCs w:val="20"/>
          </w:rPr>
          <w:instrText xml:space="preserve"> PAGE   \* MERGEFORMAT </w:instrText>
        </w:r>
        <w:r w:rsidRPr="003475B9">
          <w:rPr>
            <w:rFonts w:asciiTheme="minorHAnsi" w:hAnsiTheme="minorHAnsi"/>
            <w:sz w:val="20"/>
            <w:szCs w:val="20"/>
          </w:rPr>
          <w:fldChar w:fldCharType="separate"/>
        </w:r>
        <w:r w:rsidR="00FA210D">
          <w:rPr>
            <w:rFonts w:asciiTheme="minorHAnsi" w:hAnsiTheme="minorHAnsi"/>
            <w:noProof/>
            <w:sz w:val="20"/>
            <w:szCs w:val="20"/>
          </w:rPr>
          <w:t>3</w:t>
        </w:r>
        <w:r w:rsidRPr="003475B9">
          <w:rPr>
            <w:rFonts w:asciiTheme="minorHAnsi" w:hAnsiTheme="minorHAnsi"/>
            <w:noProof/>
            <w:sz w:val="20"/>
            <w:szCs w:val="20"/>
          </w:rPr>
          <w:fldChar w:fldCharType="end"/>
        </w:r>
        <w:r w:rsidRPr="003475B9">
          <w:rPr>
            <w:rFonts w:asciiTheme="minorHAnsi" w:hAnsiTheme="minorHAnsi"/>
            <w:sz w:val="20"/>
            <w:szCs w:val="20"/>
          </w:rPr>
          <w:t xml:space="preserve"> | </w:t>
        </w:r>
        <w:r w:rsidRPr="003475B9">
          <w:rPr>
            <w:rFonts w:asciiTheme="minorHAnsi" w:hAnsiTheme="minorHAnsi"/>
            <w:color w:val="7F7F7F" w:themeColor="background1" w:themeShade="7F"/>
            <w:spacing w:val="60"/>
            <w:sz w:val="20"/>
            <w:szCs w:val="20"/>
          </w:rPr>
          <w:t>Page</w:t>
        </w:r>
      </w:p>
    </w:sdtContent>
  </w:sdt>
  <w:p w14:paraId="41F32E67" w14:textId="77777777" w:rsidR="00D31D64" w:rsidRDefault="00D31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6C8E4" w14:textId="77777777" w:rsidR="00D31D64" w:rsidRDefault="00D31D64">
      <w:pPr>
        <w:spacing w:after="0"/>
      </w:pPr>
      <w:r>
        <w:separator/>
      </w:r>
    </w:p>
  </w:footnote>
  <w:footnote w:type="continuationSeparator" w:id="0">
    <w:p w14:paraId="74D10393" w14:textId="77777777" w:rsidR="00D31D64" w:rsidRDefault="00D31D6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3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5"/>
    <w:lvl w:ilvl="0">
      <w:start w:val="1"/>
      <w:numFmt w:val="bullet"/>
      <w:lvlText w:val=""/>
      <w:lvlJc w:val="left"/>
      <w:pPr>
        <w:tabs>
          <w:tab w:val="num" w:pos="-714"/>
        </w:tabs>
        <w:ind w:left="6" w:hanging="360"/>
      </w:pPr>
      <w:rPr>
        <w:rFonts w:ascii="Symbol" w:hAnsi="Symbol"/>
      </w:rPr>
    </w:lvl>
    <w:lvl w:ilvl="1">
      <w:start w:val="1"/>
      <w:numFmt w:val="bullet"/>
      <w:lvlText w:val="o"/>
      <w:lvlJc w:val="left"/>
      <w:pPr>
        <w:tabs>
          <w:tab w:val="num" w:pos="-714"/>
        </w:tabs>
        <w:ind w:left="726" w:hanging="360"/>
      </w:pPr>
      <w:rPr>
        <w:rFonts w:ascii="Courier New" w:hAnsi="Courier New" w:cs="Courier New"/>
      </w:rPr>
    </w:lvl>
    <w:lvl w:ilvl="2">
      <w:start w:val="1"/>
      <w:numFmt w:val="bullet"/>
      <w:lvlText w:val=""/>
      <w:lvlJc w:val="left"/>
      <w:pPr>
        <w:tabs>
          <w:tab w:val="num" w:pos="-714"/>
        </w:tabs>
        <w:ind w:left="1446" w:hanging="360"/>
      </w:pPr>
      <w:rPr>
        <w:rFonts w:ascii="Wingdings" w:hAnsi="Wingdings"/>
      </w:rPr>
    </w:lvl>
    <w:lvl w:ilvl="3">
      <w:start w:val="1"/>
      <w:numFmt w:val="bullet"/>
      <w:lvlText w:val=""/>
      <w:lvlJc w:val="left"/>
      <w:pPr>
        <w:tabs>
          <w:tab w:val="num" w:pos="-714"/>
        </w:tabs>
        <w:ind w:left="2166" w:hanging="360"/>
      </w:pPr>
      <w:rPr>
        <w:rFonts w:ascii="Symbol" w:hAnsi="Symbol"/>
      </w:rPr>
    </w:lvl>
    <w:lvl w:ilvl="4">
      <w:start w:val="1"/>
      <w:numFmt w:val="bullet"/>
      <w:lvlText w:val="o"/>
      <w:lvlJc w:val="left"/>
      <w:pPr>
        <w:tabs>
          <w:tab w:val="num" w:pos="-714"/>
        </w:tabs>
        <w:ind w:left="2886" w:hanging="360"/>
      </w:pPr>
      <w:rPr>
        <w:rFonts w:ascii="Courier New" w:hAnsi="Courier New" w:cs="Courier New"/>
      </w:rPr>
    </w:lvl>
    <w:lvl w:ilvl="5">
      <w:start w:val="1"/>
      <w:numFmt w:val="bullet"/>
      <w:lvlText w:val=""/>
      <w:lvlJc w:val="left"/>
      <w:pPr>
        <w:tabs>
          <w:tab w:val="num" w:pos="-714"/>
        </w:tabs>
        <w:ind w:left="3606" w:hanging="360"/>
      </w:pPr>
      <w:rPr>
        <w:rFonts w:ascii="Wingdings" w:hAnsi="Wingdings"/>
      </w:rPr>
    </w:lvl>
    <w:lvl w:ilvl="6">
      <w:start w:val="1"/>
      <w:numFmt w:val="bullet"/>
      <w:lvlText w:val=""/>
      <w:lvlJc w:val="left"/>
      <w:pPr>
        <w:tabs>
          <w:tab w:val="num" w:pos="-714"/>
        </w:tabs>
        <w:ind w:left="4326" w:hanging="360"/>
      </w:pPr>
      <w:rPr>
        <w:rFonts w:ascii="Symbol" w:hAnsi="Symbol"/>
      </w:rPr>
    </w:lvl>
    <w:lvl w:ilvl="7">
      <w:start w:val="1"/>
      <w:numFmt w:val="bullet"/>
      <w:lvlText w:val="o"/>
      <w:lvlJc w:val="left"/>
      <w:pPr>
        <w:tabs>
          <w:tab w:val="num" w:pos="-714"/>
        </w:tabs>
        <w:ind w:left="5046" w:hanging="360"/>
      </w:pPr>
      <w:rPr>
        <w:rFonts w:ascii="Courier New" w:hAnsi="Courier New" w:cs="Courier New"/>
      </w:rPr>
    </w:lvl>
    <w:lvl w:ilvl="8">
      <w:start w:val="1"/>
      <w:numFmt w:val="bullet"/>
      <w:lvlText w:val=""/>
      <w:lvlJc w:val="left"/>
      <w:pPr>
        <w:tabs>
          <w:tab w:val="num" w:pos="-714"/>
        </w:tabs>
        <w:ind w:left="5766" w:hanging="360"/>
      </w:pPr>
      <w:rPr>
        <w:rFonts w:ascii="Wingdings" w:hAnsi="Wingdings"/>
      </w:rPr>
    </w:lvl>
  </w:abstractNum>
  <w:abstractNum w:abstractNumId="3" w15:restartNumberingAfterBreak="0">
    <w:nsid w:val="00000004"/>
    <w:multiLevelType w:val="multilevel"/>
    <w:tmpl w:val="00000004"/>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3E47BA9"/>
    <w:multiLevelType w:val="hybridMultilevel"/>
    <w:tmpl w:val="96D27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F45BEA"/>
    <w:multiLevelType w:val="hybridMultilevel"/>
    <w:tmpl w:val="D3F610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51229F9"/>
    <w:multiLevelType w:val="hybridMultilevel"/>
    <w:tmpl w:val="01BE16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BD46F9"/>
    <w:multiLevelType w:val="hybridMultilevel"/>
    <w:tmpl w:val="114871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6C97354"/>
    <w:multiLevelType w:val="hybridMultilevel"/>
    <w:tmpl w:val="3CAC17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8D75026"/>
    <w:multiLevelType w:val="hybridMultilevel"/>
    <w:tmpl w:val="0D70C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EC7EE4"/>
    <w:multiLevelType w:val="hybridMultilevel"/>
    <w:tmpl w:val="9C0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2A3828"/>
    <w:multiLevelType w:val="hybridMultilevel"/>
    <w:tmpl w:val="462A4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6567BD"/>
    <w:multiLevelType w:val="hybridMultilevel"/>
    <w:tmpl w:val="FF76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6601CE"/>
    <w:multiLevelType w:val="hybridMultilevel"/>
    <w:tmpl w:val="AF0E2D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DB6DC9"/>
    <w:multiLevelType w:val="hybridMultilevel"/>
    <w:tmpl w:val="F3EAF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F97CEE"/>
    <w:multiLevelType w:val="hybridMultilevel"/>
    <w:tmpl w:val="03A65D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90064D"/>
    <w:multiLevelType w:val="hybridMultilevel"/>
    <w:tmpl w:val="04D4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286134"/>
    <w:multiLevelType w:val="hybridMultilevel"/>
    <w:tmpl w:val="9600F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112EC5"/>
    <w:multiLevelType w:val="hybridMultilevel"/>
    <w:tmpl w:val="173CC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82725A"/>
    <w:multiLevelType w:val="hybridMultilevel"/>
    <w:tmpl w:val="88CA35FA"/>
    <w:lvl w:ilvl="0" w:tplc="1A0E1476">
      <w:start w:val="1"/>
      <w:numFmt w:val="bullet"/>
      <w:lvlText w:val="•"/>
      <w:lvlJc w:val="left"/>
      <w:pPr>
        <w:tabs>
          <w:tab w:val="num" w:pos="720"/>
        </w:tabs>
        <w:ind w:left="720" w:hanging="360"/>
      </w:pPr>
      <w:rPr>
        <w:rFonts w:ascii="Arial" w:hAnsi="Arial" w:hint="default"/>
      </w:rPr>
    </w:lvl>
    <w:lvl w:ilvl="1" w:tplc="4CCC84A4" w:tentative="1">
      <w:start w:val="1"/>
      <w:numFmt w:val="bullet"/>
      <w:lvlText w:val="•"/>
      <w:lvlJc w:val="left"/>
      <w:pPr>
        <w:tabs>
          <w:tab w:val="num" w:pos="1440"/>
        </w:tabs>
        <w:ind w:left="1440" w:hanging="360"/>
      </w:pPr>
      <w:rPr>
        <w:rFonts w:ascii="Arial" w:hAnsi="Arial" w:hint="default"/>
      </w:rPr>
    </w:lvl>
    <w:lvl w:ilvl="2" w:tplc="1196203E" w:tentative="1">
      <w:start w:val="1"/>
      <w:numFmt w:val="bullet"/>
      <w:lvlText w:val="•"/>
      <w:lvlJc w:val="left"/>
      <w:pPr>
        <w:tabs>
          <w:tab w:val="num" w:pos="2160"/>
        </w:tabs>
        <w:ind w:left="2160" w:hanging="360"/>
      </w:pPr>
      <w:rPr>
        <w:rFonts w:ascii="Arial" w:hAnsi="Arial" w:hint="default"/>
      </w:rPr>
    </w:lvl>
    <w:lvl w:ilvl="3" w:tplc="378C82BC" w:tentative="1">
      <w:start w:val="1"/>
      <w:numFmt w:val="bullet"/>
      <w:lvlText w:val="•"/>
      <w:lvlJc w:val="left"/>
      <w:pPr>
        <w:tabs>
          <w:tab w:val="num" w:pos="2880"/>
        </w:tabs>
        <w:ind w:left="2880" w:hanging="360"/>
      </w:pPr>
      <w:rPr>
        <w:rFonts w:ascii="Arial" w:hAnsi="Arial" w:hint="default"/>
      </w:rPr>
    </w:lvl>
    <w:lvl w:ilvl="4" w:tplc="D34A408C" w:tentative="1">
      <w:start w:val="1"/>
      <w:numFmt w:val="bullet"/>
      <w:lvlText w:val="•"/>
      <w:lvlJc w:val="left"/>
      <w:pPr>
        <w:tabs>
          <w:tab w:val="num" w:pos="3600"/>
        </w:tabs>
        <w:ind w:left="3600" w:hanging="360"/>
      </w:pPr>
      <w:rPr>
        <w:rFonts w:ascii="Arial" w:hAnsi="Arial" w:hint="default"/>
      </w:rPr>
    </w:lvl>
    <w:lvl w:ilvl="5" w:tplc="B7B8A524" w:tentative="1">
      <w:start w:val="1"/>
      <w:numFmt w:val="bullet"/>
      <w:lvlText w:val="•"/>
      <w:lvlJc w:val="left"/>
      <w:pPr>
        <w:tabs>
          <w:tab w:val="num" w:pos="4320"/>
        </w:tabs>
        <w:ind w:left="4320" w:hanging="360"/>
      </w:pPr>
      <w:rPr>
        <w:rFonts w:ascii="Arial" w:hAnsi="Arial" w:hint="default"/>
      </w:rPr>
    </w:lvl>
    <w:lvl w:ilvl="6" w:tplc="C2C8F786" w:tentative="1">
      <w:start w:val="1"/>
      <w:numFmt w:val="bullet"/>
      <w:lvlText w:val="•"/>
      <w:lvlJc w:val="left"/>
      <w:pPr>
        <w:tabs>
          <w:tab w:val="num" w:pos="5040"/>
        </w:tabs>
        <w:ind w:left="5040" w:hanging="360"/>
      </w:pPr>
      <w:rPr>
        <w:rFonts w:ascii="Arial" w:hAnsi="Arial" w:hint="default"/>
      </w:rPr>
    </w:lvl>
    <w:lvl w:ilvl="7" w:tplc="6480DEC0" w:tentative="1">
      <w:start w:val="1"/>
      <w:numFmt w:val="bullet"/>
      <w:lvlText w:val="•"/>
      <w:lvlJc w:val="left"/>
      <w:pPr>
        <w:tabs>
          <w:tab w:val="num" w:pos="5760"/>
        </w:tabs>
        <w:ind w:left="5760" w:hanging="360"/>
      </w:pPr>
      <w:rPr>
        <w:rFonts w:ascii="Arial" w:hAnsi="Arial" w:hint="default"/>
      </w:rPr>
    </w:lvl>
    <w:lvl w:ilvl="8" w:tplc="E7E498C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4866B18"/>
    <w:multiLevelType w:val="hybridMultilevel"/>
    <w:tmpl w:val="055C060A"/>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21" w15:restartNumberingAfterBreak="0">
    <w:nsid w:val="26ED0EBC"/>
    <w:multiLevelType w:val="hybridMultilevel"/>
    <w:tmpl w:val="0CF8F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F1068C"/>
    <w:multiLevelType w:val="hybridMultilevel"/>
    <w:tmpl w:val="B29C84F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75E5274"/>
    <w:multiLevelType w:val="hybridMultilevel"/>
    <w:tmpl w:val="EF22731A"/>
    <w:lvl w:ilvl="0" w:tplc="A75CEB0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A103BDA"/>
    <w:multiLevelType w:val="hybridMultilevel"/>
    <w:tmpl w:val="A70297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B0C0ACF"/>
    <w:multiLevelType w:val="hybridMultilevel"/>
    <w:tmpl w:val="C0CE0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A01E34"/>
    <w:multiLevelType w:val="hybridMultilevel"/>
    <w:tmpl w:val="AEC06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4F7940"/>
    <w:multiLevelType w:val="hybridMultilevel"/>
    <w:tmpl w:val="B42EF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7C344E"/>
    <w:multiLevelType w:val="hybridMultilevel"/>
    <w:tmpl w:val="62B2C0B2"/>
    <w:lvl w:ilvl="0" w:tplc="0809000F">
      <w:start w:val="1"/>
      <w:numFmt w:val="decimal"/>
      <w:lvlText w:val="%1."/>
      <w:lvlJc w:val="left"/>
      <w:pPr>
        <w:tabs>
          <w:tab w:val="num" w:pos="360"/>
        </w:tabs>
        <w:ind w:left="360" w:hanging="360"/>
      </w:pPr>
      <w:rPr>
        <w:rFonts w:hint="default"/>
        <w:b/>
        <w:i w:val="0"/>
        <w:color w:val="auto"/>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B4A25C1"/>
    <w:multiLevelType w:val="hybridMultilevel"/>
    <w:tmpl w:val="24A42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BB186F"/>
    <w:multiLevelType w:val="hybridMultilevel"/>
    <w:tmpl w:val="1F12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EE3B4A"/>
    <w:multiLevelType w:val="hybridMultilevel"/>
    <w:tmpl w:val="AE8CB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87303D"/>
    <w:multiLevelType w:val="hybridMultilevel"/>
    <w:tmpl w:val="1C9E52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D3545C"/>
    <w:multiLevelType w:val="hybridMultilevel"/>
    <w:tmpl w:val="1B981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9C46E5C"/>
    <w:multiLevelType w:val="hybridMultilevel"/>
    <w:tmpl w:val="FB907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762F3E"/>
    <w:multiLevelType w:val="hybridMultilevel"/>
    <w:tmpl w:val="5AAABFE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D3C1DBF"/>
    <w:multiLevelType w:val="hybridMultilevel"/>
    <w:tmpl w:val="A24E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187800"/>
    <w:multiLevelType w:val="hybridMultilevel"/>
    <w:tmpl w:val="E3F6D9E4"/>
    <w:lvl w:ilvl="0" w:tplc="0809000F">
      <w:start w:val="1"/>
      <w:numFmt w:val="decimal"/>
      <w:lvlText w:val="%1."/>
      <w:lvlJc w:val="left"/>
      <w:pPr>
        <w:ind w:left="720" w:hanging="360"/>
      </w:pPr>
    </w:lvl>
    <w:lvl w:ilvl="1" w:tplc="8CFADA54">
      <w:start w:val="1"/>
      <w:numFmt w:val="lowerLetter"/>
      <w:lvlText w:val="%2."/>
      <w:lvlJc w:val="left"/>
      <w:pPr>
        <w:ind w:left="1440" w:hanging="360"/>
      </w:pPr>
      <w:rPr>
        <w:b w:val="0"/>
      </w:rPr>
    </w:lvl>
    <w:lvl w:ilvl="2" w:tplc="756C539C">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635C0B"/>
    <w:multiLevelType w:val="hybridMultilevel"/>
    <w:tmpl w:val="4A52AE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5BC34B8"/>
    <w:multiLevelType w:val="hybridMultilevel"/>
    <w:tmpl w:val="87460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6A506D7"/>
    <w:multiLevelType w:val="hybridMultilevel"/>
    <w:tmpl w:val="CA3E4A64"/>
    <w:lvl w:ilvl="0" w:tplc="6FB4B7E2">
      <w:start w:val="1"/>
      <w:numFmt w:val="upperRoman"/>
      <w:lvlText w:val="%1."/>
      <w:lvlJc w:val="left"/>
      <w:pPr>
        <w:tabs>
          <w:tab w:val="num" w:pos="371"/>
        </w:tabs>
        <w:ind w:left="371" w:hanging="360"/>
      </w:pPr>
      <w:rPr>
        <w:rFonts w:ascii="Arial" w:hAnsi="Arial"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75E3F62"/>
    <w:multiLevelType w:val="hybridMultilevel"/>
    <w:tmpl w:val="522836A8"/>
    <w:lvl w:ilvl="0" w:tplc="0809000F">
      <w:start w:val="1"/>
      <w:numFmt w:val="decimal"/>
      <w:lvlText w:val="%1."/>
      <w:lvlJc w:val="left"/>
      <w:pPr>
        <w:ind w:left="720" w:hanging="360"/>
      </w:pPr>
    </w:lvl>
    <w:lvl w:ilvl="1" w:tplc="567AF28A">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9A0684"/>
    <w:multiLevelType w:val="hybridMultilevel"/>
    <w:tmpl w:val="BD1A2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E42E0A"/>
    <w:multiLevelType w:val="hybridMultilevel"/>
    <w:tmpl w:val="081C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7D4977"/>
    <w:multiLevelType w:val="hybridMultilevel"/>
    <w:tmpl w:val="35742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BC1326"/>
    <w:multiLevelType w:val="hybridMultilevel"/>
    <w:tmpl w:val="7A30F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28"/>
  </w:num>
  <w:num w:numId="3">
    <w:abstractNumId w:val="37"/>
  </w:num>
  <w:num w:numId="4">
    <w:abstractNumId w:val="24"/>
  </w:num>
  <w:num w:numId="5">
    <w:abstractNumId w:val="32"/>
  </w:num>
  <w:num w:numId="6">
    <w:abstractNumId w:val="23"/>
  </w:num>
  <w:num w:numId="7">
    <w:abstractNumId w:val="9"/>
  </w:num>
  <w:num w:numId="8">
    <w:abstractNumId w:val="15"/>
  </w:num>
  <w:num w:numId="9">
    <w:abstractNumId w:val="41"/>
  </w:num>
  <w:num w:numId="10">
    <w:abstractNumId w:val="38"/>
  </w:num>
  <w:num w:numId="11">
    <w:abstractNumId w:val="31"/>
  </w:num>
  <w:num w:numId="12">
    <w:abstractNumId w:val="26"/>
  </w:num>
  <w:num w:numId="13">
    <w:abstractNumId w:val="13"/>
  </w:num>
  <w:num w:numId="14">
    <w:abstractNumId w:val="6"/>
  </w:num>
  <w:num w:numId="15">
    <w:abstractNumId w:val="22"/>
  </w:num>
  <w:num w:numId="16">
    <w:abstractNumId w:val="21"/>
  </w:num>
  <w:num w:numId="17">
    <w:abstractNumId w:val="11"/>
  </w:num>
  <w:num w:numId="18">
    <w:abstractNumId w:val="4"/>
  </w:num>
  <w:num w:numId="19">
    <w:abstractNumId w:val="19"/>
  </w:num>
  <w:num w:numId="20">
    <w:abstractNumId w:val="29"/>
  </w:num>
  <w:num w:numId="21">
    <w:abstractNumId w:val="44"/>
  </w:num>
  <w:num w:numId="22">
    <w:abstractNumId w:val="33"/>
  </w:num>
  <w:num w:numId="23">
    <w:abstractNumId w:val="10"/>
  </w:num>
  <w:num w:numId="24">
    <w:abstractNumId w:val="8"/>
  </w:num>
  <w:num w:numId="25">
    <w:abstractNumId w:val="34"/>
  </w:num>
  <w:num w:numId="26">
    <w:abstractNumId w:val="14"/>
  </w:num>
  <w:num w:numId="27">
    <w:abstractNumId w:val="5"/>
  </w:num>
  <w:num w:numId="28">
    <w:abstractNumId w:val="35"/>
  </w:num>
  <w:num w:numId="29">
    <w:abstractNumId w:val="25"/>
  </w:num>
  <w:num w:numId="30">
    <w:abstractNumId w:val="45"/>
  </w:num>
  <w:num w:numId="31">
    <w:abstractNumId w:val="12"/>
  </w:num>
  <w:num w:numId="32">
    <w:abstractNumId w:val="27"/>
  </w:num>
  <w:num w:numId="33">
    <w:abstractNumId w:val="39"/>
  </w:num>
  <w:num w:numId="34">
    <w:abstractNumId w:val="18"/>
  </w:num>
  <w:num w:numId="35">
    <w:abstractNumId w:val="17"/>
  </w:num>
  <w:num w:numId="36">
    <w:abstractNumId w:val="43"/>
  </w:num>
  <w:num w:numId="37">
    <w:abstractNumId w:val="36"/>
  </w:num>
  <w:num w:numId="38">
    <w:abstractNumId w:val="30"/>
  </w:num>
  <w:num w:numId="39">
    <w:abstractNumId w:val="0"/>
  </w:num>
  <w:num w:numId="40">
    <w:abstractNumId w:val="1"/>
  </w:num>
  <w:num w:numId="41">
    <w:abstractNumId w:val="2"/>
  </w:num>
  <w:num w:numId="42">
    <w:abstractNumId w:val="3"/>
  </w:num>
  <w:num w:numId="43">
    <w:abstractNumId w:val="20"/>
  </w:num>
  <w:num w:numId="44">
    <w:abstractNumId w:val="7"/>
  </w:num>
  <w:num w:numId="45">
    <w:abstractNumId w:val="42"/>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16E"/>
    <w:rsid w:val="0000166C"/>
    <w:rsid w:val="000021FA"/>
    <w:rsid w:val="00003961"/>
    <w:rsid w:val="000112BD"/>
    <w:rsid w:val="00011A82"/>
    <w:rsid w:val="0001206C"/>
    <w:rsid w:val="00013882"/>
    <w:rsid w:val="00015BDF"/>
    <w:rsid w:val="00052902"/>
    <w:rsid w:val="000759F5"/>
    <w:rsid w:val="00076DDC"/>
    <w:rsid w:val="00095F48"/>
    <w:rsid w:val="00096FB7"/>
    <w:rsid w:val="000975A8"/>
    <w:rsid w:val="000D282B"/>
    <w:rsid w:val="000E3CC9"/>
    <w:rsid w:val="000E65F8"/>
    <w:rsid w:val="00104C09"/>
    <w:rsid w:val="00105A10"/>
    <w:rsid w:val="00105EEF"/>
    <w:rsid w:val="001118A7"/>
    <w:rsid w:val="00117491"/>
    <w:rsid w:val="0012265B"/>
    <w:rsid w:val="001255AE"/>
    <w:rsid w:val="00130266"/>
    <w:rsid w:val="001329B9"/>
    <w:rsid w:val="00141E3A"/>
    <w:rsid w:val="00146FC8"/>
    <w:rsid w:val="00151A9D"/>
    <w:rsid w:val="001845A4"/>
    <w:rsid w:val="00185513"/>
    <w:rsid w:val="00192839"/>
    <w:rsid w:val="00196427"/>
    <w:rsid w:val="001A0A06"/>
    <w:rsid w:val="001A104E"/>
    <w:rsid w:val="001A55BD"/>
    <w:rsid w:val="001A7061"/>
    <w:rsid w:val="001B399B"/>
    <w:rsid w:val="001B6909"/>
    <w:rsid w:val="001D3FD6"/>
    <w:rsid w:val="001D47A7"/>
    <w:rsid w:val="001D4B7D"/>
    <w:rsid w:val="001D6234"/>
    <w:rsid w:val="001D74A3"/>
    <w:rsid w:val="001E00A1"/>
    <w:rsid w:val="001F4FC7"/>
    <w:rsid w:val="001F55FE"/>
    <w:rsid w:val="00204DED"/>
    <w:rsid w:val="00216EAB"/>
    <w:rsid w:val="00224AE6"/>
    <w:rsid w:val="00254766"/>
    <w:rsid w:val="00256D6B"/>
    <w:rsid w:val="00267E78"/>
    <w:rsid w:val="00275119"/>
    <w:rsid w:val="00287950"/>
    <w:rsid w:val="002950D7"/>
    <w:rsid w:val="002A11AF"/>
    <w:rsid w:val="002B6887"/>
    <w:rsid w:val="002B71E1"/>
    <w:rsid w:val="002C5A90"/>
    <w:rsid w:val="002C7317"/>
    <w:rsid w:val="002D4898"/>
    <w:rsid w:val="002E054C"/>
    <w:rsid w:val="002F2B7D"/>
    <w:rsid w:val="00301125"/>
    <w:rsid w:val="0030223C"/>
    <w:rsid w:val="00302DEE"/>
    <w:rsid w:val="00303E74"/>
    <w:rsid w:val="00310E6F"/>
    <w:rsid w:val="00311585"/>
    <w:rsid w:val="00316E82"/>
    <w:rsid w:val="003209B5"/>
    <w:rsid w:val="003249FF"/>
    <w:rsid w:val="00325120"/>
    <w:rsid w:val="00332FB9"/>
    <w:rsid w:val="00335816"/>
    <w:rsid w:val="00336B76"/>
    <w:rsid w:val="00340645"/>
    <w:rsid w:val="003431A5"/>
    <w:rsid w:val="003475B9"/>
    <w:rsid w:val="00350E93"/>
    <w:rsid w:val="003520B0"/>
    <w:rsid w:val="00367000"/>
    <w:rsid w:val="003818D2"/>
    <w:rsid w:val="00381C3A"/>
    <w:rsid w:val="003A717D"/>
    <w:rsid w:val="003C31DD"/>
    <w:rsid w:val="003C3320"/>
    <w:rsid w:val="003D54A6"/>
    <w:rsid w:val="003E35DE"/>
    <w:rsid w:val="003F3F94"/>
    <w:rsid w:val="00401C0D"/>
    <w:rsid w:val="00432BF0"/>
    <w:rsid w:val="00432FF3"/>
    <w:rsid w:val="004406A7"/>
    <w:rsid w:val="004452C9"/>
    <w:rsid w:val="004529A6"/>
    <w:rsid w:val="004608DD"/>
    <w:rsid w:val="00472E93"/>
    <w:rsid w:val="0048216E"/>
    <w:rsid w:val="0048443A"/>
    <w:rsid w:val="00485D53"/>
    <w:rsid w:val="00496E93"/>
    <w:rsid w:val="004A5A3B"/>
    <w:rsid w:val="004B32AF"/>
    <w:rsid w:val="004C1F7A"/>
    <w:rsid w:val="004D543A"/>
    <w:rsid w:val="004E7C9C"/>
    <w:rsid w:val="004F199D"/>
    <w:rsid w:val="004F7C63"/>
    <w:rsid w:val="00515722"/>
    <w:rsid w:val="00522F08"/>
    <w:rsid w:val="00562585"/>
    <w:rsid w:val="00571A3E"/>
    <w:rsid w:val="00571ABF"/>
    <w:rsid w:val="00571E0F"/>
    <w:rsid w:val="00571E1F"/>
    <w:rsid w:val="00587891"/>
    <w:rsid w:val="005909B1"/>
    <w:rsid w:val="0059353F"/>
    <w:rsid w:val="005A0469"/>
    <w:rsid w:val="005A3584"/>
    <w:rsid w:val="005B1839"/>
    <w:rsid w:val="005B4420"/>
    <w:rsid w:val="005F4817"/>
    <w:rsid w:val="00603E6B"/>
    <w:rsid w:val="00605F26"/>
    <w:rsid w:val="00610DE9"/>
    <w:rsid w:val="00620DF8"/>
    <w:rsid w:val="0063513F"/>
    <w:rsid w:val="006357FB"/>
    <w:rsid w:val="0064354D"/>
    <w:rsid w:val="006739F5"/>
    <w:rsid w:val="00675577"/>
    <w:rsid w:val="00680015"/>
    <w:rsid w:val="00694323"/>
    <w:rsid w:val="006962CA"/>
    <w:rsid w:val="00697EDD"/>
    <w:rsid w:val="006B1FB8"/>
    <w:rsid w:val="006B2B02"/>
    <w:rsid w:val="006B3AE2"/>
    <w:rsid w:val="006C0F27"/>
    <w:rsid w:val="006D73D5"/>
    <w:rsid w:val="006F3F2E"/>
    <w:rsid w:val="006F64C6"/>
    <w:rsid w:val="00705671"/>
    <w:rsid w:val="007178AC"/>
    <w:rsid w:val="00724215"/>
    <w:rsid w:val="00730FD5"/>
    <w:rsid w:val="00731986"/>
    <w:rsid w:val="007447D2"/>
    <w:rsid w:val="0075266F"/>
    <w:rsid w:val="00762F50"/>
    <w:rsid w:val="00776D27"/>
    <w:rsid w:val="0078178C"/>
    <w:rsid w:val="007820BE"/>
    <w:rsid w:val="007A50E4"/>
    <w:rsid w:val="007B10C3"/>
    <w:rsid w:val="007B395E"/>
    <w:rsid w:val="007D77B2"/>
    <w:rsid w:val="007E2EF3"/>
    <w:rsid w:val="007E613E"/>
    <w:rsid w:val="007E66CE"/>
    <w:rsid w:val="007F3AE2"/>
    <w:rsid w:val="007F6DFF"/>
    <w:rsid w:val="007F7712"/>
    <w:rsid w:val="0080042E"/>
    <w:rsid w:val="00802977"/>
    <w:rsid w:val="008033E2"/>
    <w:rsid w:val="0081097C"/>
    <w:rsid w:val="008200F5"/>
    <w:rsid w:val="00831FED"/>
    <w:rsid w:val="00844A16"/>
    <w:rsid w:val="008453F8"/>
    <w:rsid w:val="008501C6"/>
    <w:rsid w:val="00854CEB"/>
    <w:rsid w:val="0086244D"/>
    <w:rsid w:val="00863E74"/>
    <w:rsid w:val="00866242"/>
    <w:rsid w:val="00866260"/>
    <w:rsid w:val="00872441"/>
    <w:rsid w:val="00881042"/>
    <w:rsid w:val="00895BEA"/>
    <w:rsid w:val="008A304D"/>
    <w:rsid w:val="008D6C09"/>
    <w:rsid w:val="008D78D8"/>
    <w:rsid w:val="008E55E5"/>
    <w:rsid w:val="008F678F"/>
    <w:rsid w:val="00901054"/>
    <w:rsid w:val="009174C9"/>
    <w:rsid w:val="009232BC"/>
    <w:rsid w:val="00936FD6"/>
    <w:rsid w:val="00950780"/>
    <w:rsid w:val="00960E2C"/>
    <w:rsid w:val="00964A59"/>
    <w:rsid w:val="00973557"/>
    <w:rsid w:val="00974F3A"/>
    <w:rsid w:val="00990EEB"/>
    <w:rsid w:val="0099194E"/>
    <w:rsid w:val="009A2EEF"/>
    <w:rsid w:val="009B79FA"/>
    <w:rsid w:val="009C589F"/>
    <w:rsid w:val="009C7C62"/>
    <w:rsid w:val="009C7FA4"/>
    <w:rsid w:val="009D2C36"/>
    <w:rsid w:val="009E5FF9"/>
    <w:rsid w:val="009F7054"/>
    <w:rsid w:val="009F7DF8"/>
    <w:rsid w:val="00A12C8B"/>
    <w:rsid w:val="00A3072D"/>
    <w:rsid w:val="00A51E85"/>
    <w:rsid w:val="00A60CD0"/>
    <w:rsid w:val="00A63CAE"/>
    <w:rsid w:val="00A67367"/>
    <w:rsid w:val="00A7608C"/>
    <w:rsid w:val="00A76B82"/>
    <w:rsid w:val="00A82763"/>
    <w:rsid w:val="00A83724"/>
    <w:rsid w:val="00A8619B"/>
    <w:rsid w:val="00A862AB"/>
    <w:rsid w:val="00A96B08"/>
    <w:rsid w:val="00AA66EF"/>
    <w:rsid w:val="00AC1B38"/>
    <w:rsid w:val="00AD05F1"/>
    <w:rsid w:val="00AD0D59"/>
    <w:rsid w:val="00AE363B"/>
    <w:rsid w:val="00B37226"/>
    <w:rsid w:val="00B4628E"/>
    <w:rsid w:val="00B60BD0"/>
    <w:rsid w:val="00B62738"/>
    <w:rsid w:val="00B70FB2"/>
    <w:rsid w:val="00B81A70"/>
    <w:rsid w:val="00B92668"/>
    <w:rsid w:val="00BA182A"/>
    <w:rsid w:val="00C012D2"/>
    <w:rsid w:val="00C039E6"/>
    <w:rsid w:val="00C16B61"/>
    <w:rsid w:val="00C31839"/>
    <w:rsid w:val="00C35C5D"/>
    <w:rsid w:val="00C37891"/>
    <w:rsid w:val="00C40C69"/>
    <w:rsid w:val="00C45333"/>
    <w:rsid w:val="00C829CB"/>
    <w:rsid w:val="00C82C2E"/>
    <w:rsid w:val="00CB7F73"/>
    <w:rsid w:val="00CD2ECC"/>
    <w:rsid w:val="00CE02C0"/>
    <w:rsid w:val="00CE0888"/>
    <w:rsid w:val="00CE1B55"/>
    <w:rsid w:val="00D12361"/>
    <w:rsid w:val="00D1764B"/>
    <w:rsid w:val="00D2637E"/>
    <w:rsid w:val="00D31D64"/>
    <w:rsid w:val="00D3393F"/>
    <w:rsid w:val="00D44913"/>
    <w:rsid w:val="00D45855"/>
    <w:rsid w:val="00D54201"/>
    <w:rsid w:val="00D56D5E"/>
    <w:rsid w:val="00D77270"/>
    <w:rsid w:val="00D777CA"/>
    <w:rsid w:val="00DA1801"/>
    <w:rsid w:val="00DA541C"/>
    <w:rsid w:val="00DB6B8E"/>
    <w:rsid w:val="00DF0CCE"/>
    <w:rsid w:val="00DF1298"/>
    <w:rsid w:val="00DF1782"/>
    <w:rsid w:val="00DF79CC"/>
    <w:rsid w:val="00E03DA1"/>
    <w:rsid w:val="00E06B98"/>
    <w:rsid w:val="00E13351"/>
    <w:rsid w:val="00E20480"/>
    <w:rsid w:val="00E268EA"/>
    <w:rsid w:val="00E27B3B"/>
    <w:rsid w:val="00E46A8C"/>
    <w:rsid w:val="00E5012C"/>
    <w:rsid w:val="00E542A5"/>
    <w:rsid w:val="00E55772"/>
    <w:rsid w:val="00E5611E"/>
    <w:rsid w:val="00E6479C"/>
    <w:rsid w:val="00E6630A"/>
    <w:rsid w:val="00E868EF"/>
    <w:rsid w:val="00E94352"/>
    <w:rsid w:val="00EB422C"/>
    <w:rsid w:val="00EC189C"/>
    <w:rsid w:val="00EC1C58"/>
    <w:rsid w:val="00EC295D"/>
    <w:rsid w:val="00ED26B8"/>
    <w:rsid w:val="00ED49F3"/>
    <w:rsid w:val="00EE63E5"/>
    <w:rsid w:val="00F10728"/>
    <w:rsid w:val="00F14839"/>
    <w:rsid w:val="00F16A4B"/>
    <w:rsid w:val="00F24E33"/>
    <w:rsid w:val="00F25CEC"/>
    <w:rsid w:val="00F37E8B"/>
    <w:rsid w:val="00F45D2A"/>
    <w:rsid w:val="00F550D5"/>
    <w:rsid w:val="00F553F9"/>
    <w:rsid w:val="00F55561"/>
    <w:rsid w:val="00F71043"/>
    <w:rsid w:val="00F740EC"/>
    <w:rsid w:val="00F85BC4"/>
    <w:rsid w:val="00F879D2"/>
    <w:rsid w:val="00F921FD"/>
    <w:rsid w:val="00FA210D"/>
    <w:rsid w:val="00FB0BB0"/>
    <w:rsid w:val="00FB2A38"/>
    <w:rsid w:val="00FB6CFA"/>
    <w:rsid w:val="00FB6FFE"/>
    <w:rsid w:val="00FC0E69"/>
    <w:rsid w:val="00FC3FA7"/>
    <w:rsid w:val="00FC515C"/>
    <w:rsid w:val="00FC6A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shapelayout>
  </w:shapeDefaults>
  <w:decimalSymbol w:val="."/>
  <w:listSeparator w:val=","/>
  <w14:docId w14:val="0479AAB2"/>
  <w15:docId w15:val="{1D5E4DDD-7DB6-45EE-A4C0-C3A879A3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443A"/>
    <w:pPr>
      <w:spacing w:after="200"/>
    </w:pPr>
    <w:rPr>
      <w:sz w:val="24"/>
      <w:szCs w:val="24"/>
      <w:lang w:val="en-US" w:eastAsia="en-US"/>
    </w:rPr>
  </w:style>
  <w:style w:type="paragraph" w:styleId="Heading1">
    <w:name w:val="heading 1"/>
    <w:basedOn w:val="RecipientAddressPanel"/>
    <w:next w:val="Normal"/>
    <w:link w:val="Heading1Char"/>
    <w:qFormat/>
    <w:rsid w:val="002950D7"/>
    <w:pPr>
      <w:keepNext/>
      <w:spacing w:before="240" w:after="60"/>
      <w:ind w:left="0"/>
      <w:outlineLvl w:val="0"/>
    </w:pPr>
    <w:rPr>
      <w:rFonts w:eastAsia="Times New Roman" w:cs="Times New Roman"/>
      <w:b/>
      <w:bCs/>
      <w:color w:val="002D73"/>
      <w:kern w:val="32"/>
      <w:sz w:val="32"/>
      <w:szCs w:val="32"/>
    </w:rPr>
  </w:style>
  <w:style w:type="paragraph" w:styleId="Heading2">
    <w:name w:val="heading 2"/>
    <w:basedOn w:val="RecipientAddressPanel"/>
    <w:next w:val="Normal"/>
    <w:link w:val="Heading2Char"/>
    <w:qFormat/>
    <w:rsid w:val="002950D7"/>
    <w:pPr>
      <w:keepNext/>
      <w:spacing w:before="240" w:after="60"/>
      <w:ind w:left="0"/>
      <w:outlineLvl w:val="1"/>
    </w:pPr>
    <w:rPr>
      <w:rFonts w:eastAsia="Times New Roman" w:cs="Times New Roman"/>
      <w:bCs/>
      <w:iCs/>
      <w:color w:val="8B2332"/>
      <w:sz w:val="28"/>
      <w:szCs w:val="28"/>
    </w:rPr>
  </w:style>
  <w:style w:type="paragraph" w:styleId="Heading4">
    <w:name w:val="heading 4"/>
    <w:basedOn w:val="Normal"/>
    <w:next w:val="Normal"/>
    <w:link w:val="Heading4Char"/>
    <w:semiHidden/>
    <w:unhideWhenUsed/>
    <w:qFormat/>
    <w:rsid w:val="0048216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0888"/>
    <w:pPr>
      <w:tabs>
        <w:tab w:val="center" w:pos="4513"/>
        <w:tab w:val="right" w:pos="9026"/>
      </w:tabs>
    </w:pPr>
  </w:style>
  <w:style w:type="character" w:customStyle="1" w:styleId="HeaderChar">
    <w:name w:val="Header Char"/>
    <w:basedOn w:val="DefaultParagraphFont"/>
    <w:link w:val="Header"/>
    <w:rsid w:val="00CE0888"/>
    <w:rPr>
      <w:sz w:val="24"/>
      <w:szCs w:val="24"/>
      <w:lang w:val="en-US" w:eastAsia="en-US"/>
    </w:rPr>
  </w:style>
  <w:style w:type="paragraph" w:styleId="Footer">
    <w:name w:val="footer"/>
    <w:basedOn w:val="Normal"/>
    <w:link w:val="FooterChar"/>
    <w:uiPriority w:val="99"/>
    <w:unhideWhenUsed/>
    <w:rsid w:val="005C220D"/>
    <w:pPr>
      <w:tabs>
        <w:tab w:val="center" w:pos="4320"/>
        <w:tab w:val="right" w:pos="8640"/>
      </w:tabs>
      <w:spacing w:after="0"/>
    </w:pPr>
  </w:style>
  <w:style w:type="character" w:customStyle="1" w:styleId="FooterChar">
    <w:name w:val="Footer Char"/>
    <w:basedOn w:val="DefaultParagraphFont"/>
    <w:link w:val="Footer"/>
    <w:uiPriority w:val="99"/>
    <w:rsid w:val="005C220D"/>
  </w:style>
  <w:style w:type="paragraph" w:customStyle="1" w:styleId="BasicParagraph">
    <w:name w:val="[Basic Paragraph]"/>
    <w:basedOn w:val="Normal"/>
    <w:uiPriority w:val="99"/>
    <w:rsid w:val="00906522"/>
    <w:pPr>
      <w:widowControl w:val="0"/>
      <w:autoSpaceDE w:val="0"/>
      <w:autoSpaceDN w:val="0"/>
      <w:adjustRightInd w:val="0"/>
      <w:spacing w:after="0" w:line="288" w:lineRule="auto"/>
      <w:textAlignment w:val="center"/>
    </w:pPr>
    <w:rPr>
      <w:rFonts w:ascii="Calibri" w:hAnsi="Calibri" w:cs="MinionPro-Regular"/>
      <w:color w:val="000000"/>
    </w:rPr>
  </w:style>
  <w:style w:type="character" w:styleId="Hyperlink">
    <w:name w:val="Hyperlink"/>
    <w:unhideWhenUsed/>
    <w:rsid w:val="00103830"/>
    <w:rPr>
      <w:color w:val="0000FF"/>
      <w:u w:val="single"/>
    </w:rPr>
  </w:style>
  <w:style w:type="paragraph" w:customStyle="1" w:styleId="RecipientAddressPanel">
    <w:name w:val="Recipient Address Panel"/>
    <w:basedOn w:val="BasicParagraph"/>
    <w:rsid w:val="00906522"/>
    <w:pPr>
      <w:ind w:left="1134"/>
    </w:pPr>
    <w:rPr>
      <w:rFonts w:cs="Calibri"/>
      <w:color w:val="404040"/>
    </w:rPr>
  </w:style>
  <w:style w:type="paragraph" w:customStyle="1" w:styleId="DearRecipientTitleStyle">
    <w:name w:val="Dear Recipient Title Style"/>
    <w:basedOn w:val="Normal"/>
    <w:rsid w:val="005C64CA"/>
    <w:pPr>
      <w:widowControl w:val="0"/>
      <w:autoSpaceDE w:val="0"/>
      <w:autoSpaceDN w:val="0"/>
      <w:adjustRightInd w:val="0"/>
      <w:spacing w:after="0" w:line="288" w:lineRule="auto"/>
      <w:ind w:left="1134"/>
      <w:textAlignment w:val="center"/>
    </w:pPr>
    <w:rPr>
      <w:rFonts w:ascii="Calibri" w:hAnsi="Calibri" w:cs="Calibri"/>
      <w:color w:val="404040"/>
    </w:rPr>
  </w:style>
  <w:style w:type="paragraph" w:customStyle="1" w:styleId="NormalBodyText">
    <w:name w:val="Normal Body Text"/>
    <w:basedOn w:val="Normal"/>
    <w:qFormat/>
    <w:rsid w:val="002950D7"/>
    <w:pPr>
      <w:widowControl w:val="0"/>
      <w:autoSpaceDE w:val="0"/>
      <w:autoSpaceDN w:val="0"/>
      <w:adjustRightInd w:val="0"/>
      <w:spacing w:after="0" w:line="288" w:lineRule="auto"/>
      <w:textAlignment w:val="center"/>
    </w:pPr>
    <w:rPr>
      <w:rFonts w:ascii="Calibri" w:hAnsi="Calibri" w:cs="Calibri"/>
      <w:color w:val="404040"/>
    </w:rPr>
  </w:style>
  <w:style w:type="paragraph" w:customStyle="1" w:styleId="SenderName">
    <w:name w:val="Sender Name"/>
    <w:basedOn w:val="NormalBodyText"/>
    <w:rsid w:val="00E968AD"/>
  </w:style>
  <w:style w:type="character" w:customStyle="1" w:styleId="Heading1Char">
    <w:name w:val="Heading 1 Char"/>
    <w:link w:val="Heading1"/>
    <w:rsid w:val="002950D7"/>
    <w:rPr>
      <w:rFonts w:ascii="Calibri" w:eastAsia="Times New Roman" w:hAnsi="Calibri"/>
      <w:b/>
      <w:bCs/>
      <w:color w:val="002D73"/>
      <w:kern w:val="32"/>
      <w:sz w:val="32"/>
      <w:szCs w:val="32"/>
      <w:lang w:val="en-US"/>
    </w:rPr>
  </w:style>
  <w:style w:type="character" w:customStyle="1" w:styleId="Heading2Char">
    <w:name w:val="Heading 2 Char"/>
    <w:link w:val="Heading2"/>
    <w:rsid w:val="002950D7"/>
    <w:rPr>
      <w:rFonts w:ascii="Calibri" w:eastAsia="Times New Roman" w:hAnsi="Calibri"/>
      <w:bCs/>
      <w:iCs/>
      <w:color w:val="8B2332"/>
      <w:sz w:val="28"/>
      <w:szCs w:val="28"/>
      <w:lang w:val="en-US"/>
    </w:rPr>
  </w:style>
  <w:style w:type="paragraph" w:customStyle="1" w:styleId="Contactdetailsfooter">
    <w:name w:val="Contact details footer"/>
    <w:basedOn w:val="BasicParagraph"/>
    <w:rsid w:val="002950D7"/>
    <w:pPr>
      <w:spacing w:line="360" w:lineRule="exact"/>
    </w:pPr>
    <w:rPr>
      <w:rFonts w:cs="Calibri"/>
      <w:color w:val="043071"/>
      <w:szCs w:val="20"/>
    </w:rPr>
  </w:style>
  <w:style w:type="paragraph" w:customStyle="1" w:styleId="CharityNumbertextfooter">
    <w:name w:val="Charity Number text footer"/>
    <w:basedOn w:val="BasicParagraph"/>
    <w:rsid w:val="002950D7"/>
    <w:pPr>
      <w:tabs>
        <w:tab w:val="left" w:pos="567"/>
      </w:tabs>
      <w:spacing w:line="240" w:lineRule="exact"/>
    </w:pPr>
    <w:rPr>
      <w:rFonts w:cs="Calibri"/>
      <w:color w:val="043071"/>
      <w:sz w:val="18"/>
      <w:szCs w:val="13"/>
    </w:rPr>
  </w:style>
  <w:style w:type="character" w:customStyle="1" w:styleId="Heading4Char">
    <w:name w:val="Heading 4 Char"/>
    <w:basedOn w:val="DefaultParagraphFont"/>
    <w:link w:val="Heading4"/>
    <w:semiHidden/>
    <w:rsid w:val="0048216E"/>
    <w:rPr>
      <w:rFonts w:asciiTheme="majorHAnsi" w:eastAsiaTheme="majorEastAsia" w:hAnsiTheme="majorHAnsi" w:cstheme="majorBidi"/>
      <w:i/>
      <w:iCs/>
      <w:color w:val="2E74B5" w:themeColor="accent1" w:themeShade="BF"/>
      <w:sz w:val="24"/>
      <w:szCs w:val="24"/>
      <w:lang w:val="en-US" w:eastAsia="en-US"/>
    </w:rPr>
  </w:style>
  <w:style w:type="paragraph" w:styleId="ListParagraph">
    <w:name w:val="List Paragraph"/>
    <w:basedOn w:val="Normal"/>
    <w:uiPriority w:val="34"/>
    <w:qFormat/>
    <w:rsid w:val="008D78D8"/>
    <w:pPr>
      <w:ind w:left="720"/>
      <w:contextualSpacing/>
    </w:pPr>
  </w:style>
  <w:style w:type="paragraph" w:styleId="BalloonText">
    <w:name w:val="Balloon Text"/>
    <w:basedOn w:val="Normal"/>
    <w:link w:val="BalloonTextChar"/>
    <w:semiHidden/>
    <w:unhideWhenUsed/>
    <w:rsid w:val="00E5611E"/>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5611E"/>
    <w:rPr>
      <w:rFonts w:ascii="Segoe UI" w:hAnsi="Segoe UI" w:cs="Segoe UI"/>
      <w:sz w:val="18"/>
      <w:szCs w:val="18"/>
      <w:lang w:val="en-US" w:eastAsia="en-US"/>
    </w:rPr>
  </w:style>
  <w:style w:type="table" w:styleId="TableGrid">
    <w:name w:val="Table Grid"/>
    <w:basedOn w:val="TableNormal"/>
    <w:rsid w:val="00E46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332FB9"/>
    <w:pPr>
      <w:spacing w:after="0"/>
    </w:pPr>
    <w:rPr>
      <w:sz w:val="20"/>
      <w:szCs w:val="20"/>
    </w:rPr>
  </w:style>
  <w:style w:type="character" w:customStyle="1" w:styleId="FootnoteTextChar">
    <w:name w:val="Footnote Text Char"/>
    <w:basedOn w:val="DefaultParagraphFont"/>
    <w:link w:val="FootnoteText"/>
    <w:semiHidden/>
    <w:rsid w:val="00332FB9"/>
    <w:rPr>
      <w:lang w:val="en-US" w:eastAsia="en-US"/>
    </w:rPr>
  </w:style>
  <w:style w:type="character" w:styleId="FootnoteReference">
    <w:name w:val="footnote reference"/>
    <w:basedOn w:val="DefaultParagraphFont"/>
    <w:semiHidden/>
    <w:unhideWhenUsed/>
    <w:rsid w:val="00332FB9"/>
    <w:rPr>
      <w:vertAlign w:val="superscript"/>
    </w:rPr>
  </w:style>
  <w:style w:type="character" w:styleId="CommentReference">
    <w:name w:val="annotation reference"/>
    <w:basedOn w:val="DefaultParagraphFont"/>
    <w:semiHidden/>
    <w:unhideWhenUsed/>
    <w:rsid w:val="009C7FA4"/>
    <w:rPr>
      <w:sz w:val="16"/>
      <w:szCs w:val="16"/>
    </w:rPr>
  </w:style>
  <w:style w:type="paragraph" w:styleId="CommentText">
    <w:name w:val="annotation text"/>
    <w:basedOn w:val="Normal"/>
    <w:link w:val="CommentTextChar"/>
    <w:semiHidden/>
    <w:unhideWhenUsed/>
    <w:rsid w:val="009C7FA4"/>
    <w:rPr>
      <w:sz w:val="20"/>
      <w:szCs w:val="20"/>
    </w:rPr>
  </w:style>
  <w:style w:type="character" w:customStyle="1" w:styleId="CommentTextChar">
    <w:name w:val="Comment Text Char"/>
    <w:basedOn w:val="DefaultParagraphFont"/>
    <w:link w:val="CommentText"/>
    <w:semiHidden/>
    <w:rsid w:val="009C7FA4"/>
    <w:rPr>
      <w:lang w:val="en-US" w:eastAsia="en-US"/>
    </w:rPr>
  </w:style>
  <w:style w:type="paragraph" w:styleId="CommentSubject">
    <w:name w:val="annotation subject"/>
    <w:basedOn w:val="CommentText"/>
    <w:next w:val="CommentText"/>
    <w:link w:val="CommentSubjectChar"/>
    <w:semiHidden/>
    <w:unhideWhenUsed/>
    <w:rsid w:val="009C7FA4"/>
    <w:rPr>
      <w:b/>
      <w:bCs/>
    </w:rPr>
  </w:style>
  <w:style w:type="character" w:customStyle="1" w:styleId="CommentSubjectChar">
    <w:name w:val="Comment Subject Char"/>
    <w:basedOn w:val="CommentTextChar"/>
    <w:link w:val="CommentSubject"/>
    <w:semiHidden/>
    <w:rsid w:val="009C7FA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49858">
      <w:bodyDiv w:val="1"/>
      <w:marLeft w:val="0"/>
      <w:marRight w:val="0"/>
      <w:marTop w:val="0"/>
      <w:marBottom w:val="0"/>
      <w:divBdr>
        <w:top w:val="none" w:sz="0" w:space="0" w:color="auto"/>
        <w:left w:val="none" w:sz="0" w:space="0" w:color="auto"/>
        <w:bottom w:val="none" w:sz="0" w:space="0" w:color="auto"/>
        <w:right w:val="none" w:sz="0" w:space="0" w:color="auto"/>
      </w:divBdr>
    </w:div>
    <w:div w:id="187790813">
      <w:bodyDiv w:val="1"/>
      <w:marLeft w:val="0"/>
      <w:marRight w:val="0"/>
      <w:marTop w:val="0"/>
      <w:marBottom w:val="0"/>
      <w:divBdr>
        <w:top w:val="none" w:sz="0" w:space="0" w:color="auto"/>
        <w:left w:val="none" w:sz="0" w:space="0" w:color="auto"/>
        <w:bottom w:val="none" w:sz="0" w:space="0" w:color="auto"/>
        <w:right w:val="none" w:sz="0" w:space="0" w:color="auto"/>
      </w:divBdr>
    </w:div>
    <w:div w:id="222644789">
      <w:bodyDiv w:val="1"/>
      <w:marLeft w:val="0"/>
      <w:marRight w:val="0"/>
      <w:marTop w:val="0"/>
      <w:marBottom w:val="0"/>
      <w:divBdr>
        <w:top w:val="none" w:sz="0" w:space="0" w:color="auto"/>
        <w:left w:val="none" w:sz="0" w:space="0" w:color="auto"/>
        <w:bottom w:val="none" w:sz="0" w:space="0" w:color="auto"/>
        <w:right w:val="none" w:sz="0" w:space="0" w:color="auto"/>
      </w:divBdr>
      <w:divsChild>
        <w:div w:id="154804298">
          <w:marLeft w:val="475"/>
          <w:marRight w:val="0"/>
          <w:marTop w:val="0"/>
          <w:marBottom w:val="0"/>
          <w:divBdr>
            <w:top w:val="none" w:sz="0" w:space="0" w:color="auto"/>
            <w:left w:val="none" w:sz="0" w:space="0" w:color="auto"/>
            <w:bottom w:val="none" w:sz="0" w:space="0" w:color="auto"/>
            <w:right w:val="none" w:sz="0" w:space="0" w:color="auto"/>
          </w:divBdr>
        </w:div>
        <w:div w:id="462777545">
          <w:marLeft w:val="2030"/>
          <w:marRight w:val="0"/>
          <w:marTop w:val="0"/>
          <w:marBottom w:val="0"/>
          <w:divBdr>
            <w:top w:val="none" w:sz="0" w:space="0" w:color="auto"/>
            <w:left w:val="none" w:sz="0" w:space="0" w:color="auto"/>
            <w:bottom w:val="none" w:sz="0" w:space="0" w:color="auto"/>
            <w:right w:val="none" w:sz="0" w:space="0" w:color="auto"/>
          </w:divBdr>
        </w:div>
        <w:div w:id="1202012250">
          <w:marLeft w:val="2030"/>
          <w:marRight w:val="0"/>
          <w:marTop w:val="0"/>
          <w:marBottom w:val="0"/>
          <w:divBdr>
            <w:top w:val="none" w:sz="0" w:space="0" w:color="auto"/>
            <w:left w:val="none" w:sz="0" w:space="0" w:color="auto"/>
            <w:bottom w:val="none" w:sz="0" w:space="0" w:color="auto"/>
            <w:right w:val="none" w:sz="0" w:space="0" w:color="auto"/>
          </w:divBdr>
        </w:div>
        <w:div w:id="1346637273">
          <w:marLeft w:val="475"/>
          <w:marRight w:val="0"/>
          <w:marTop w:val="0"/>
          <w:marBottom w:val="0"/>
          <w:divBdr>
            <w:top w:val="none" w:sz="0" w:space="0" w:color="auto"/>
            <w:left w:val="none" w:sz="0" w:space="0" w:color="auto"/>
            <w:bottom w:val="none" w:sz="0" w:space="0" w:color="auto"/>
            <w:right w:val="none" w:sz="0" w:space="0" w:color="auto"/>
          </w:divBdr>
        </w:div>
        <w:div w:id="1396053209">
          <w:marLeft w:val="475"/>
          <w:marRight w:val="0"/>
          <w:marTop w:val="0"/>
          <w:marBottom w:val="0"/>
          <w:divBdr>
            <w:top w:val="none" w:sz="0" w:space="0" w:color="auto"/>
            <w:left w:val="none" w:sz="0" w:space="0" w:color="auto"/>
            <w:bottom w:val="none" w:sz="0" w:space="0" w:color="auto"/>
            <w:right w:val="none" w:sz="0" w:space="0" w:color="auto"/>
          </w:divBdr>
        </w:div>
        <w:div w:id="1455128320">
          <w:marLeft w:val="1253"/>
          <w:marRight w:val="0"/>
          <w:marTop w:val="0"/>
          <w:marBottom w:val="0"/>
          <w:divBdr>
            <w:top w:val="none" w:sz="0" w:space="0" w:color="auto"/>
            <w:left w:val="none" w:sz="0" w:space="0" w:color="auto"/>
            <w:bottom w:val="none" w:sz="0" w:space="0" w:color="auto"/>
            <w:right w:val="none" w:sz="0" w:space="0" w:color="auto"/>
          </w:divBdr>
        </w:div>
        <w:div w:id="1489131135">
          <w:marLeft w:val="1253"/>
          <w:marRight w:val="0"/>
          <w:marTop w:val="0"/>
          <w:marBottom w:val="0"/>
          <w:divBdr>
            <w:top w:val="none" w:sz="0" w:space="0" w:color="auto"/>
            <w:left w:val="none" w:sz="0" w:space="0" w:color="auto"/>
            <w:bottom w:val="none" w:sz="0" w:space="0" w:color="auto"/>
            <w:right w:val="none" w:sz="0" w:space="0" w:color="auto"/>
          </w:divBdr>
        </w:div>
        <w:div w:id="1811743838">
          <w:marLeft w:val="475"/>
          <w:marRight w:val="0"/>
          <w:marTop w:val="0"/>
          <w:marBottom w:val="0"/>
          <w:divBdr>
            <w:top w:val="none" w:sz="0" w:space="0" w:color="auto"/>
            <w:left w:val="none" w:sz="0" w:space="0" w:color="auto"/>
            <w:bottom w:val="none" w:sz="0" w:space="0" w:color="auto"/>
            <w:right w:val="none" w:sz="0" w:space="0" w:color="auto"/>
          </w:divBdr>
        </w:div>
        <w:div w:id="1895503873">
          <w:marLeft w:val="1253"/>
          <w:marRight w:val="0"/>
          <w:marTop w:val="0"/>
          <w:marBottom w:val="0"/>
          <w:divBdr>
            <w:top w:val="none" w:sz="0" w:space="0" w:color="auto"/>
            <w:left w:val="none" w:sz="0" w:space="0" w:color="auto"/>
            <w:bottom w:val="none" w:sz="0" w:space="0" w:color="auto"/>
            <w:right w:val="none" w:sz="0" w:space="0" w:color="auto"/>
          </w:divBdr>
        </w:div>
        <w:div w:id="1946646454">
          <w:marLeft w:val="2030"/>
          <w:marRight w:val="0"/>
          <w:marTop w:val="0"/>
          <w:marBottom w:val="0"/>
          <w:divBdr>
            <w:top w:val="none" w:sz="0" w:space="0" w:color="auto"/>
            <w:left w:val="none" w:sz="0" w:space="0" w:color="auto"/>
            <w:bottom w:val="none" w:sz="0" w:space="0" w:color="auto"/>
            <w:right w:val="none" w:sz="0" w:space="0" w:color="auto"/>
          </w:divBdr>
        </w:div>
        <w:div w:id="2041582744">
          <w:marLeft w:val="1253"/>
          <w:marRight w:val="0"/>
          <w:marTop w:val="0"/>
          <w:marBottom w:val="0"/>
          <w:divBdr>
            <w:top w:val="none" w:sz="0" w:space="0" w:color="auto"/>
            <w:left w:val="none" w:sz="0" w:space="0" w:color="auto"/>
            <w:bottom w:val="none" w:sz="0" w:space="0" w:color="auto"/>
            <w:right w:val="none" w:sz="0" w:space="0" w:color="auto"/>
          </w:divBdr>
        </w:div>
        <w:div w:id="2081636678">
          <w:marLeft w:val="1253"/>
          <w:marRight w:val="0"/>
          <w:marTop w:val="0"/>
          <w:marBottom w:val="0"/>
          <w:divBdr>
            <w:top w:val="none" w:sz="0" w:space="0" w:color="auto"/>
            <w:left w:val="none" w:sz="0" w:space="0" w:color="auto"/>
            <w:bottom w:val="none" w:sz="0" w:space="0" w:color="auto"/>
            <w:right w:val="none" w:sz="0" w:space="0" w:color="auto"/>
          </w:divBdr>
        </w:div>
      </w:divsChild>
    </w:div>
    <w:div w:id="241069334">
      <w:bodyDiv w:val="1"/>
      <w:marLeft w:val="0"/>
      <w:marRight w:val="0"/>
      <w:marTop w:val="0"/>
      <w:marBottom w:val="0"/>
      <w:divBdr>
        <w:top w:val="none" w:sz="0" w:space="0" w:color="auto"/>
        <w:left w:val="none" w:sz="0" w:space="0" w:color="auto"/>
        <w:bottom w:val="none" w:sz="0" w:space="0" w:color="auto"/>
        <w:right w:val="none" w:sz="0" w:space="0" w:color="auto"/>
      </w:divBdr>
    </w:div>
    <w:div w:id="361370991">
      <w:bodyDiv w:val="1"/>
      <w:marLeft w:val="0"/>
      <w:marRight w:val="0"/>
      <w:marTop w:val="0"/>
      <w:marBottom w:val="0"/>
      <w:divBdr>
        <w:top w:val="none" w:sz="0" w:space="0" w:color="auto"/>
        <w:left w:val="none" w:sz="0" w:space="0" w:color="auto"/>
        <w:bottom w:val="none" w:sz="0" w:space="0" w:color="auto"/>
        <w:right w:val="none" w:sz="0" w:space="0" w:color="auto"/>
      </w:divBdr>
    </w:div>
    <w:div w:id="396516711">
      <w:bodyDiv w:val="1"/>
      <w:marLeft w:val="0"/>
      <w:marRight w:val="0"/>
      <w:marTop w:val="0"/>
      <w:marBottom w:val="0"/>
      <w:divBdr>
        <w:top w:val="none" w:sz="0" w:space="0" w:color="auto"/>
        <w:left w:val="none" w:sz="0" w:space="0" w:color="auto"/>
        <w:bottom w:val="none" w:sz="0" w:space="0" w:color="auto"/>
        <w:right w:val="none" w:sz="0" w:space="0" w:color="auto"/>
      </w:divBdr>
    </w:div>
    <w:div w:id="525364685">
      <w:bodyDiv w:val="1"/>
      <w:marLeft w:val="0"/>
      <w:marRight w:val="0"/>
      <w:marTop w:val="0"/>
      <w:marBottom w:val="0"/>
      <w:divBdr>
        <w:top w:val="none" w:sz="0" w:space="0" w:color="auto"/>
        <w:left w:val="none" w:sz="0" w:space="0" w:color="auto"/>
        <w:bottom w:val="none" w:sz="0" w:space="0" w:color="auto"/>
        <w:right w:val="none" w:sz="0" w:space="0" w:color="auto"/>
      </w:divBdr>
    </w:div>
    <w:div w:id="546140595">
      <w:bodyDiv w:val="1"/>
      <w:marLeft w:val="0"/>
      <w:marRight w:val="0"/>
      <w:marTop w:val="0"/>
      <w:marBottom w:val="0"/>
      <w:divBdr>
        <w:top w:val="none" w:sz="0" w:space="0" w:color="auto"/>
        <w:left w:val="none" w:sz="0" w:space="0" w:color="auto"/>
        <w:bottom w:val="none" w:sz="0" w:space="0" w:color="auto"/>
        <w:right w:val="none" w:sz="0" w:space="0" w:color="auto"/>
      </w:divBdr>
    </w:div>
    <w:div w:id="621616617">
      <w:bodyDiv w:val="1"/>
      <w:marLeft w:val="0"/>
      <w:marRight w:val="0"/>
      <w:marTop w:val="0"/>
      <w:marBottom w:val="0"/>
      <w:divBdr>
        <w:top w:val="none" w:sz="0" w:space="0" w:color="auto"/>
        <w:left w:val="none" w:sz="0" w:space="0" w:color="auto"/>
        <w:bottom w:val="none" w:sz="0" w:space="0" w:color="auto"/>
        <w:right w:val="none" w:sz="0" w:space="0" w:color="auto"/>
      </w:divBdr>
    </w:div>
    <w:div w:id="630718574">
      <w:bodyDiv w:val="1"/>
      <w:marLeft w:val="0"/>
      <w:marRight w:val="0"/>
      <w:marTop w:val="0"/>
      <w:marBottom w:val="0"/>
      <w:divBdr>
        <w:top w:val="none" w:sz="0" w:space="0" w:color="auto"/>
        <w:left w:val="none" w:sz="0" w:space="0" w:color="auto"/>
        <w:bottom w:val="none" w:sz="0" w:space="0" w:color="auto"/>
        <w:right w:val="none" w:sz="0" w:space="0" w:color="auto"/>
      </w:divBdr>
    </w:div>
    <w:div w:id="637684394">
      <w:bodyDiv w:val="1"/>
      <w:marLeft w:val="0"/>
      <w:marRight w:val="0"/>
      <w:marTop w:val="0"/>
      <w:marBottom w:val="0"/>
      <w:divBdr>
        <w:top w:val="none" w:sz="0" w:space="0" w:color="auto"/>
        <w:left w:val="none" w:sz="0" w:space="0" w:color="auto"/>
        <w:bottom w:val="none" w:sz="0" w:space="0" w:color="auto"/>
        <w:right w:val="none" w:sz="0" w:space="0" w:color="auto"/>
      </w:divBdr>
    </w:div>
    <w:div w:id="761949298">
      <w:bodyDiv w:val="1"/>
      <w:marLeft w:val="0"/>
      <w:marRight w:val="0"/>
      <w:marTop w:val="0"/>
      <w:marBottom w:val="0"/>
      <w:divBdr>
        <w:top w:val="none" w:sz="0" w:space="0" w:color="auto"/>
        <w:left w:val="none" w:sz="0" w:space="0" w:color="auto"/>
        <w:bottom w:val="none" w:sz="0" w:space="0" w:color="auto"/>
        <w:right w:val="none" w:sz="0" w:space="0" w:color="auto"/>
      </w:divBdr>
    </w:div>
    <w:div w:id="762650173">
      <w:bodyDiv w:val="1"/>
      <w:marLeft w:val="0"/>
      <w:marRight w:val="0"/>
      <w:marTop w:val="0"/>
      <w:marBottom w:val="0"/>
      <w:divBdr>
        <w:top w:val="none" w:sz="0" w:space="0" w:color="auto"/>
        <w:left w:val="none" w:sz="0" w:space="0" w:color="auto"/>
        <w:bottom w:val="none" w:sz="0" w:space="0" w:color="auto"/>
        <w:right w:val="none" w:sz="0" w:space="0" w:color="auto"/>
      </w:divBdr>
    </w:div>
    <w:div w:id="796030351">
      <w:bodyDiv w:val="1"/>
      <w:marLeft w:val="0"/>
      <w:marRight w:val="0"/>
      <w:marTop w:val="0"/>
      <w:marBottom w:val="0"/>
      <w:divBdr>
        <w:top w:val="none" w:sz="0" w:space="0" w:color="auto"/>
        <w:left w:val="none" w:sz="0" w:space="0" w:color="auto"/>
        <w:bottom w:val="none" w:sz="0" w:space="0" w:color="auto"/>
        <w:right w:val="none" w:sz="0" w:space="0" w:color="auto"/>
      </w:divBdr>
    </w:div>
    <w:div w:id="911626631">
      <w:bodyDiv w:val="1"/>
      <w:marLeft w:val="0"/>
      <w:marRight w:val="0"/>
      <w:marTop w:val="0"/>
      <w:marBottom w:val="0"/>
      <w:divBdr>
        <w:top w:val="none" w:sz="0" w:space="0" w:color="auto"/>
        <w:left w:val="none" w:sz="0" w:space="0" w:color="auto"/>
        <w:bottom w:val="none" w:sz="0" w:space="0" w:color="auto"/>
        <w:right w:val="none" w:sz="0" w:space="0" w:color="auto"/>
      </w:divBdr>
    </w:div>
    <w:div w:id="1039472390">
      <w:bodyDiv w:val="1"/>
      <w:marLeft w:val="0"/>
      <w:marRight w:val="0"/>
      <w:marTop w:val="0"/>
      <w:marBottom w:val="0"/>
      <w:divBdr>
        <w:top w:val="none" w:sz="0" w:space="0" w:color="auto"/>
        <w:left w:val="none" w:sz="0" w:space="0" w:color="auto"/>
        <w:bottom w:val="none" w:sz="0" w:space="0" w:color="auto"/>
        <w:right w:val="none" w:sz="0" w:space="0" w:color="auto"/>
      </w:divBdr>
    </w:div>
    <w:div w:id="1041787679">
      <w:bodyDiv w:val="1"/>
      <w:marLeft w:val="0"/>
      <w:marRight w:val="0"/>
      <w:marTop w:val="0"/>
      <w:marBottom w:val="0"/>
      <w:divBdr>
        <w:top w:val="none" w:sz="0" w:space="0" w:color="auto"/>
        <w:left w:val="none" w:sz="0" w:space="0" w:color="auto"/>
        <w:bottom w:val="none" w:sz="0" w:space="0" w:color="auto"/>
        <w:right w:val="none" w:sz="0" w:space="0" w:color="auto"/>
      </w:divBdr>
    </w:div>
    <w:div w:id="1136487218">
      <w:bodyDiv w:val="1"/>
      <w:marLeft w:val="0"/>
      <w:marRight w:val="0"/>
      <w:marTop w:val="0"/>
      <w:marBottom w:val="0"/>
      <w:divBdr>
        <w:top w:val="none" w:sz="0" w:space="0" w:color="auto"/>
        <w:left w:val="none" w:sz="0" w:space="0" w:color="auto"/>
        <w:bottom w:val="none" w:sz="0" w:space="0" w:color="auto"/>
        <w:right w:val="none" w:sz="0" w:space="0" w:color="auto"/>
      </w:divBdr>
    </w:div>
    <w:div w:id="1136876039">
      <w:bodyDiv w:val="1"/>
      <w:marLeft w:val="0"/>
      <w:marRight w:val="0"/>
      <w:marTop w:val="0"/>
      <w:marBottom w:val="0"/>
      <w:divBdr>
        <w:top w:val="none" w:sz="0" w:space="0" w:color="auto"/>
        <w:left w:val="none" w:sz="0" w:space="0" w:color="auto"/>
        <w:bottom w:val="none" w:sz="0" w:space="0" w:color="auto"/>
        <w:right w:val="none" w:sz="0" w:space="0" w:color="auto"/>
      </w:divBdr>
    </w:div>
    <w:div w:id="1204706985">
      <w:bodyDiv w:val="1"/>
      <w:marLeft w:val="0"/>
      <w:marRight w:val="0"/>
      <w:marTop w:val="0"/>
      <w:marBottom w:val="0"/>
      <w:divBdr>
        <w:top w:val="none" w:sz="0" w:space="0" w:color="auto"/>
        <w:left w:val="none" w:sz="0" w:space="0" w:color="auto"/>
        <w:bottom w:val="none" w:sz="0" w:space="0" w:color="auto"/>
        <w:right w:val="none" w:sz="0" w:space="0" w:color="auto"/>
      </w:divBdr>
    </w:div>
    <w:div w:id="1257789265">
      <w:bodyDiv w:val="1"/>
      <w:marLeft w:val="0"/>
      <w:marRight w:val="0"/>
      <w:marTop w:val="0"/>
      <w:marBottom w:val="0"/>
      <w:divBdr>
        <w:top w:val="none" w:sz="0" w:space="0" w:color="auto"/>
        <w:left w:val="none" w:sz="0" w:space="0" w:color="auto"/>
        <w:bottom w:val="none" w:sz="0" w:space="0" w:color="auto"/>
        <w:right w:val="none" w:sz="0" w:space="0" w:color="auto"/>
      </w:divBdr>
    </w:div>
    <w:div w:id="1299451439">
      <w:bodyDiv w:val="1"/>
      <w:marLeft w:val="0"/>
      <w:marRight w:val="0"/>
      <w:marTop w:val="0"/>
      <w:marBottom w:val="0"/>
      <w:divBdr>
        <w:top w:val="none" w:sz="0" w:space="0" w:color="auto"/>
        <w:left w:val="none" w:sz="0" w:space="0" w:color="auto"/>
        <w:bottom w:val="none" w:sz="0" w:space="0" w:color="auto"/>
        <w:right w:val="none" w:sz="0" w:space="0" w:color="auto"/>
      </w:divBdr>
    </w:div>
    <w:div w:id="1352873589">
      <w:bodyDiv w:val="1"/>
      <w:marLeft w:val="0"/>
      <w:marRight w:val="0"/>
      <w:marTop w:val="0"/>
      <w:marBottom w:val="0"/>
      <w:divBdr>
        <w:top w:val="none" w:sz="0" w:space="0" w:color="auto"/>
        <w:left w:val="none" w:sz="0" w:space="0" w:color="auto"/>
        <w:bottom w:val="none" w:sz="0" w:space="0" w:color="auto"/>
        <w:right w:val="none" w:sz="0" w:space="0" w:color="auto"/>
      </w:divBdr>
    </w:div>
    <w:div w:id="1425106810">
      <w:bodyDiv w:val="1"/>
      <w:marLeft w:val="0"/>
      <w:marRight w:val="0"/>
      <w:marTop w:val="0"/>
      <w:marBottom w:val="0"/>
      <w:divBdr>
        <w:top w:val="none" w:sz="0" w:space="0" w:color="auto"/>
        <w:left w:val="none" w:sz="0" w:space="0" w:color="auto"/>
        <w:bottom w:val="none" w:sz="0" w:space="0" w:color="auto"/>
        <w:right w:val="none" w:sz="0" w:space="0" w:color="auto"/>
      </w:divBdr>
    </w:div>
    <w:div w:id="1505778109">
      <w:bodyDiv w:val="1"/>
      <w:marLeft w:val="0"/>
      <w:marRight w:val="0"/>
      <w:marTop w:val="0"/>
      <w:marBottom w:val="0"/>
      <w:divBdr>
        <w:top w:val="none" w:sz="0" w:space="0" w:color="auto"/>
        <w:left w:val="none" w:sz="0" w:space="0" w:color="auto"/>
        <w:bottom w:val="none" w:sz="0" w:space="0" w:color="auto"/>
        <w:right w:val="none" w:sz="0" w:space="0" w:color="auto"/>
      </w:divBdr>
    </w:div>
    <w:div w:id="1510834103">
      <w:bodyDiv w:val="1"/>
      <w:marLeft w:val="0"/>
      <w:marRight w:val="0"/>
      <w:marTop w:val="0"/>
      <w:marBottom w:val="0"/>
      <w:divBdr>
        <w:top w:val="none" w:sz="0" w:space="0" w:color="auto"/>
        <w:left w:val="none" w:sz="0" w:space="0" w:color="auto"/>
        <w:bottom w:val="none" w:sz="0" w:space="0" w:color="auto"/>
        <w:right w:val="none" w:sz="0" w:space="0" w:color="auto"/>
      </w:divBdr>
    </w:div>
    <w:div w:id="1514417394">
      <w:bodyDiv w:val="1"/>
      <w:marLeft w:val="0"/>
      <w:marRight w:val="0"/>
      <w:marTop w:val="0"/>
      <w:marBottom w:val="0"/>
      <w:divBdr>
        <w:top w:val="none" w:sz="0" w:space="0" w:color="auto"/>
        <w:left w:val="none" w:sz="0" w:space="0" w:color="auto"/>
        <w:bottom w:val="none" w:sz="0" w:space="0" w:color="auto"/>
        <w:right w:val="none" w:sz="0" w:space="0" w:color="auto"/>
      </w:divBdr>
      <w:divsChild>
        <w:div w:id="276301616">
          <w:marLeft w:val="475"/>
          <w:marRight w:val="0"/>
          <w:marTop w:val="0"/>
          <w:marBottom w:val="0"/>
          <w:divBdr>
            <w:top w:val="none" w:sz="0" w:space="0" w:color="auto"/>
            <w:left w:val="none" w:sz="0" w:space="0" w:color="auto"/>
            <w:bottom w:val="none" w:sz="0" w:space="0" w:color="auto"/>
            <w:right w:val="none" w:sz="0" w:space="0" w:color="auto"/>
          </w:divBdr>
        </w:div>
        <w:div w:id="1040131380">
          <w:marLeft w:val="475"/>
          <w:marRight w:val="0"/>
          <w:marTop w:val="0"/>
          <w:marBottom w:val="0"/>
          <w:divBdr>
            <w:top w:val="none" w:sz="0" w:space="0" w:color="auto"/>
            <w:left w:val="none" w:sz="0" w:space="0" w:color="auto"/>
            <w:bottom w:val="none" w:sz="0" w:space="0" w:color="auto"/>
            <w:right w:val="none" w:sz="0" w:space="0" w:color="auto"/>
          </w:divBdr>
        </w:div>
        <w:div w:id="2003115703">
          <w:marLeft w:val="475"/>
          <w:marRight w:val="0"/>
          <w:marTop w:val="0"/>
          <w:marBottom w:val="0"/>
          <w:divBdr>
            <w:top w:val="none" w:sz="0" w:space="0" w:color="auto"/>
            <w:left w:val="none" w:sz="0" w:space="0" w:color="auto"/>
            <w:bottom w:val="none" w:sz="0" w:space="0" w:color="auto"/>
            <w:right w:val="none" w:sz="0" w:space="0" w:color="auto"/>
          </w:divBdr>
        </w:div>
      </w:divsChild>
    </w:div>
    <w:div w:id="1515609434">
      <w:bodyDiv w:val="1"/>
      <w:marLeft w:val="0"/>
      <w:marRight w:val="0"/>
      <w:marTop w:val="0"/>
      <w:marBottom w:val="0"/>
      <w:divBdr>
        <w:top w:val="none" w:sz="0" w:space="0" w:color="auto"/>
        <w:left w:val="none" w:sz="0" w:space="0" w:color="auto"/>
        <w:bottom w:val="none" w:sz="0" w:space="0" w:color="auto"/>
        <w:right w:val="none" w:sz="0" w:space="0" w:color="auto"/>
      </w:divBdr>
    </w:div>
    <w:div w:id="1546331735">
      <w:bodyDiv w:val="1"/>
      <w:marLeft w:val="0"/>
      <w:marRight w:val="0"/>
      <w:marTop w:val="0"/>
      <w:marBottom w:val="0"/>
      <w:divBdr>
        <w:top w:val="none" w:sz="0" w:space="0" w:color="auto"/>
        <w:left w:val="none" w:sz="0" w:space="0" w:color="auto"/>
        <w:bottom w:val="none" w:sz="0" w:space="0" w:color="auto"/>
        <w:right w:val="none" w:sz="0" w:space="0" w:color="auto"/>
      </w:divBdr>
    </w:div>
    <w:div w:id="1616250503">
      <w:bodyDiv w:val="1"/>
      <w:marLeft w:val="0"/>
      <w:marRight w:val="0"/>
      <w:marTop w:val="0"/>
      <w:marBottom w:val="0"/>
      <w:divBdr>
        <w:top w:val="none" w:sz="0" w:space="0" w:color="auto"/>
        <w:left w:val="none" w:sz="0" w:space="0" w:color="auto"/>
        <w:bottom w:val="none" w:sz="0" w:space="0" w:color="auto"/>
        <w:right w:val="none" w:sz="0" w:space="0" w:color="auto"/>
      </w:divBdr>
    </w:div>
    <w:div w:id="1721175161">
      <w:bodyDiv w:val="1"/>
      <w:marLeft w:val="0"/>
      <w:marRight w:val="0"/>
      <w:marTop w:val="0"/>
      <w:marBottom w:val="0"/>
      <w:divBdr>
        <w:top w:val="none" w:sz="0" w:space="0" w:color="auto"/>
        <w:left w:val="none" w:sz="0" w:space="0" w:color="auto"/>
        <w:bottom w:val="none" w:sz="0" w:space="0" w:color="auto"/>
        <w:right w:val="none" w:sz="0" w:space="0" w:color="auto"/>
      </w:divBdr>
    </w:div>
    <w:div w:id="1751653989">
      <w:bodyDiv w:val="1"/>
      <w:marLeft w:val="0"/>
      <w:marRight w:val="0"/>
      <w:marTop w:val="0"/>
      <w:marBottom w:val="0"/>
      <w:divBdr>
        <w:top w:val="none" w:sz="0" w:space="0" w:color="auto"/>
        <w:left w:val="none" w:sz="0" w:space="0" w:color="auto"/>
        <w:bottom w:val="none" w:sz="0" w:space="0" w:color="auto"/>
        <w:right w:val="none" w:sz="0" w:space="0" w:color="auto"/>
      </w:divBdr>
    </w:div>
    <w:div w:id="1757245266">
      <w:bodyDiv w:val="1"/>
      <w:marLeft w:val="0"/>
      <w:marRight w:val="0"/>
      <w:marTop w:val="0"/>
      <w:marBottom w:val="0"/>
      <w:divBdr>
        <w:top w:val="none" w:sz="0" w:space="0" w:color="auto"/>
        <w:left w:val="none" w:sz="0" w:space="0" w:color="auto"/>
        <w:bottom w:val="none" w:sz="0" w:space="0" w:color="auto"/>
        <w:right w:val="none" w:sz="0" w:space="0" w:color="auto"/>
      </w:divBdr>
    </w:div>
    <w:div w:id="1764377141">
      <w:bodyDiv w:val="1"/>
      <w:marLeft w:val="0"/>
      <w:marRight w:val="0"/>
      <w:marTop w:val="0"/>
      <w:marBottom w:val="0"/>
      <w:divBdr>
        <w:top w:val="none" w:sz="0" w:space="0" w:color="auto"/>
        <w:left w:val="none" w:sz="0" w:space="0" w:color="auto"/>
        <w:bottom w:val="none" w:sz="0" w:space="0" w:color="auto"/>
        <w:right w:val="none" w:sz="0" w:space="0" w:color="auto"/>
      </w:divBdr>
    </w:div>
    <w:div w:id="1940136455">
      <w:bodyDiv w:val="1"/>
      <w:marLeft w:val="0"/>
      <w:marRight w:val="0"/>
      <w:marTop w:val="0"/>
      <w:marBottom w:val="0"/>
      <w:divBdr>
        <w:top w:val="none" w:sz="0" w:space="0" w:color="auto"/>
        <w:left w:val="none" w:sz="0" w:space="0" w:color="auto"/>
        <w:bottom w:val="none" w:sz="0" w:space="0" w:color="auto"/>
        <w:right w:val="none" w:sz="0" w:space="0" w:color="auto"/>
      </w:divBdr>
    </w:div>
    <w:div w:id="1954364338">
      <w:bodyDiv w:val="1"/>
      <w:marLeft w:val="0"/>
      <w:marRight w:val="0"/>
      <w:marTop w:val="0"/>
      <w:marBottom w:val="0"/>
      <w:divBdr>
        <w:top w:val="none" w:sz="0" w:space="0" w:color="auto"/>
        <w:left w:val="none" w:sz="0" w:space="0" w:color="auto"/>
        <w:bottom w:val="none" w:sz="0" w:space="0" w:color="auto"/>
        <w:right w:val="none" w:sz="0" w:space="0" w:color="auto"/>
      </w:divBdr>
    </w:div>
    <w:div w:id="1974170870">
      <w:bodyDiv w:val="1"/>
      <w:marLeft w:val="0"/>
      <w:marRight w:val="0"/>
      <w:marTop w:val="0"/>
      <w:marBottom w:val="0"/>
      <w:divBdr>
        <w:top w:val="none" w:sz="0" w:space="0" w:color="auto"/>
        <w:left w:val="none" w:sz="0" w:space="0" w:color="auto"/>
        <w:bottom w:val="none" w:sz="0" w:space="0" w:color="auto"/>
        <w:right w:val="none" w:sz="0" w:space="0" w:color="auto"/>
      </w:divBdr>
    </w:div>
    <w:div w:id="2000040732">
      <w:bodyDiv w:val="1"/>
      <w:marLeft w:val="0"/>
      <w:marRight w:val="0"/>
      <w:marTop w:val="0"/>
      <w:marBottom w:val="0"/>
      <w:divBdr>
        <w:top w:val="none" w:sz="0" w:space="0" w:color="auto"/>
        <w:left w:val="none" w:sz="0" w:space="0" w:color="auto"/>
        <w:bottom w:val="none" w:sz="0" w:space="0" w:color="auto"/>
        <w:right w:val="none" w:sz="0" w:space="0" w:color="auto"/>
      </w:divBdr>
    </w:div>
    <w:div w:id="205461951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98E8-0E49-4FE1-AECA-9A610C7D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1398</Words>
  <Characters>6965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Edmonds</dc:creator>
  <cp:keywords/>
  <cp:lastModifiedBy>Neil Pugmire</cp:lastModifiedBy>
  <cp:revision>2</cp:revision>
  <cp:lastPrinted>2017-07-31T14:20:00Z</cp:lastPrinted>
  <dcterms:created xsi:type="dcterms:W3CDTF">2018-11-12T14:15:00Z</dcterms:created>
  <dcterms:modified xsi:type="dcterms:W3CDTF">2018-11-12T14:15:00Z</dcterms:modified>
</cp:coreProperties>
</file>